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E23D76" w:rsidRPr="00E23D76" w14:paraId="2CD28B89" w14:textId="77777777" w:rsidTr="000F4C51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8C92D" w14:textId="77777777" w:rsidR="00E23D76" w:rsidRPr="00E23D76" w:rsidRDefault="00E23D76" w:rsidP="00E23D76">
            <w:pPr>
              <w:keepNext/>
              <w:spacing w:after="0" w:line="276" w:lineRule="auto"/>
              <w:jc w:val="right"/>
              <w:outlineLvl w:val="2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  <w:t>Załącznik nr 4 do SWZ</w:t>
            </w:r>
          </w:p>
          <w:p w14:paraId="7D9A8AFA" w14:textId="77777777" w:rsidR="00E23D76" w:rsidRPr="00E23D76" w:rsidRDefault="00E23D76" w:rsidP="00E23D76">
            <w:pPr>
              <w:keepNext/>
              <w:spacing w:after="0" w:line="276" w:lineRule="auto"/>
              <w:jc w:val="right"/>
              <w:outlineLvl w:val="2"/>
              <w:rPr>
                <w:rFonts w:ascii="Calibri" w:eastAsia="Times New Roman" w:hAnsi="Calibri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23D76" w:rsidRPr="00E23D76" w14:paraId="4266EE1C" w14:textId="77777777" w:rsidTr="000F4C51">
        <w:trPr>
          <w:trHeight w:val="779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435" w14:textId="77777777" w:rsidR="00E23D76" w:rsidRPr="00E23D76" w:rsidRDefault="00E23D76" w:rsidP="00E23D76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>FORMULARZ CECH I FUNKCJONALNOŚCI</w:t>
            </w:r>
          </w:p>
          <w:p w14:paraId="42228C23" w14:textId="77777777" w:rsidR="00E23D76" w:rsidRPr="00E23D76" w:rsidRDefault="00E23D76" w:rsidP="00E23D76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2668EB03" w14:textId="77777777" w:rsidR="00E307D6" w:rsidRDefault="00E307D6"/>
    <w:p w14:paraId="44DC2E8C" w14:textId="3FB5C404" w:rsidR="00E23D76" w:rsidRPr="00E23D76" w:rsidRDefault="007439D5" w:rsidP="00E23D76">
      <w:pPr>
        <w:spacing w:after="0" w:line="240" w:lineRule="auto"/>
        <w:ind w:left="426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7439D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Dostawa urządzeń i oprogramowania wraz z ich wdrożeniem i uruchomieniem we wskazanych przez Zamawiającego lokalizacjach oraz przeprowadzeniem szkolenia online</w:t>
      </w:r>
      <w:r w:rsidR="00E23D76" w:rsidRPr="00E23D7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</w:p>
    <w:p w14:paraId="3995A783" w14:textId="77777777" w:rsidR="00E23D76" w:rsidRDefault="00E23D76" w:rsidP="00E23D76">
      <w:pPr>
        <w:spacing w:after="0" w:line="276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C1EB314" w14:textId="46798B3A" w:rsidR="00E8266D" w:rsidRPr="00E23D76" w:rsidRDefault="00E8266D" w:rsidP="00E8266D">
      <w:pPr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t>1 Urządzenie sieciowe (8 szt.)</w:t>
      </w:r>
    </w:p>
    <w:p w14:paraId="3D48212F" w14:textId="4A8B450D" w:rsidR="00E23D76" w:rsidRPr="00E8266D" w:rsidRDefault="00E23D76" w:rsidP="00E8266D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Producent : …………………………………………………………………………...……………;</w:t>
      </w:r>
    </w:p>
    <w:p w14:paraId="132DE4B0" w14:textId="28E9860F" w:rsidR="00E23D76" w:rsidRPr="00E8266D" w:rsidRDefault="00E23D76" w:rsidP="00E8266D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 xml:space="preserve">Model </w:t>
      </w:r>
      <w:r w:rsidR="00E8266D"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 xml:space="preserve">i symbol </w:t>
      </w: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urządzenia: ……….………………………………………………………………………..;</w:t>
      </w:r>
    </w:p>
    <w:p w14:paraId="62AAFAE5" w14:textId="61A986CC" w:rsidR="00E23D76" w:rsidRPr="00E8266D" w:rsidRDefault="00E23D76" w:rsidP="00E8266D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Pozostałe niezbędne elementy identyfikacyjne (jeśli występują i są niezbędne):………..….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2035"/>
        <w:gridCol w:w="5373"/>
        <w:gridCol w:w="1249"/>
      </w:tblGrid>
      <w:tr w:rsidR="00E8266D" w:rsidRPr="00E8266D" w14:paraId="65D54FDF" w14:textId="0833894D" w:rsidTr="00E82963">
        <w:trPr>
          <w:cantSplit/>
          <w:jc w:val="center"/>
        </w:trPr>
        <w:tc>
          <w:tcPr>
            <w:tcW w:w="218" w:type="pct"/>
            <w:shd w:val="clear" w:color="auto" w:fill="B8CCE4"/>
            <w:vAlign w:val="center"/>
          </w:tcPr>
          <w:p w14:paraId="75B9A269" w14:textId="10FC78DA" w:rsidR="00E8266D" w:rsidRPr="00E8266D" w:rsidRDefault="00E8266D" w:rsidP="00E8266D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124" w:type="pct"/>
            <w:shd w:val="clear" w:color="auto" w:fill="B8CCE4"/>
            <w:vAlign w:val="center"/>
          </w:tcPr>
          <w:p w14:paraId="067622C9" w14:textId="40B4FE50" w:rsidR="00E8266D" w:rsidRPr="00E8266D" w:rsidRDefault="00E8266D" w:rsidP="00E8266D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Nazwa komponentu</w:t>
            </w:r>
          </w:p>
        </w:tc>
        <w:tc>
          <w:tcPr>
            <w:tcW w:w="2968" w:type="pct"/>
            <w:shd w:val="clear" w:color="auto" w:fill="B8CCE4"/>
            <w:vAlign w:val="center"/>
          </w:tcPr>
          <w:p w14:paraId="7D169168" w14:textId="7A8D28F6" w:rsidR="00E8266D" w:rsidRPr="00E8266D" w:rsidRDefault="00E8266D" w:rsidP="009556D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Wymagan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E23D7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minimalne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parametry techniczne</w:t>
            </w:r>
          </w:p>
        </w:tc>
        <w:tc>
          <w:tcPr>
            <w:tcW w:w="690" w:type="pct"/>
            <w:shd w:val="clear" w:color="auto" w:fill="B8CCE4"/>
            <w:vAlign w:val="center"/>
          </w:tcPr>
          <w:p w14:paraId="146966C5" w14:textId="77777777" w:rsidR="00E8266D" w:rsidRPr="00E23D76" w:rsidRDefault="00E8266D" w:rsidP="00E8266D">
            <w:pPr>
              <w:tabs>
                <w:tab w:val="left" w:pos="2401"/>
              </w:tabs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Spełnia</w:t>
            </w:r>
          </w:p>
          <w:p w14:paraId="2A9861B8" w14:textId="77777777" w:rsidR="00E8266D" w:rsidRPr="00E23D76" w:rsidRDefault="00E8266D" w:rsidP="00E8266D">
            <w:pPr>
              <w:tabs>
                <w:tab w:val="left" w:pos="2401"/>
              </w:tabs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wymaganie</w:t>
            </w:r>
          </w:p>
          <w:p w14:paraId="3C27103C" w14:textId="32E994A1" w:rsidR="00E8266D" w:rsidRPr="00E8266D" w:rsidRDefault="00E8266D" w:rsidP="00E8266D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ascii="Calibri" w:eastAsia="Times New Roman" w:hAnsi="Calibri" w:cs="Calibri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</w:tc>
      </w:tr>
      <w:tr w:rsidR="00E8266D" w:rsidRPr="00E8266D" w14:paraId="6AE3E2AA" w14:textId="41A6AFA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20BFEFA2" w14:textId="04A803AB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1124" w:type="pct"/>
            <w:vAlign w:val="center"/>
          </w:tcPr>
          <w:p w14:paraId="7E58CCCD" w14:textId="241B7DF3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Typ </w:t>
            </w:r>
          </w:p>
        </w:tc>
        <w:tc>
          <w:tcPr>
            <w:tcW w:w="2968" w:type="pct"/>
            <w:vAlign w:val="center"/>
          </w:tcPr>
          <w:p w14:paraId="2FB5C218" w14:textId="75F8281D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Przełącznik sieciowy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zarządzalny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rack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 xml:space="preserve"> SFP+,</w:t>
            </w:r>
          </w:p>
        </w:tc>
        <w:tc>
          <w:tcPr>
            <w:tcW w:w="690" w:type="pct"/>
            <w:vAlign w:val="center"/>
          </w:tcPr>
          <w:p w14:paraId="32AD7C0D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E8266D" w14:paraId="688B9C06" w14:textId="447CC528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0FEF7B8D" w14:textId="18E7B138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1124" w:type="pct"/>
            <w:vAlign w:val="center"/>
            <w:hideMark/>
          </w:tcPr>
          <w:p w14:paraId="4365F90D" w14:textId="6D9889E8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Porty </w:t>
            </w:r>
          </w:p>
        </w:tc>
        <w:tc>
          <w:tcPr>
            <w:tcW w:w="2968" w:type="pct"/>
            <w:vAlign w:val="center"/>
            <w:hideMark/>
          </w:tcPr>
          <w:p w14:paraId="3A1035CC" w14:textId="77777777" w:rsidR="00E8266D" w:rsidRPr="00E8266D" w:rsidRDefault="00E8266D" w:rsidP="009556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E8266D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Minimum 24 porty 1G/10G SFP+.</w:t>
            </w:r>
          </w:p>
          <w:p w14:paraId="1AECB74B" w14:textId="77777777" w:rsidR="00E8266D" w:rsidRPr="00E8266D" w:rsidRDefault="00E8266D" w:rsidP="009556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E8266D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Minimum 4 porty QSFP28 z możliwością pracy 40G/100Gbit.</w:t>
            </w:r>
          </w:p>
          <w:p w14:paraId="0640661B" w14:textId="77777777" w:rsidR="00E8266D" w:rsidRPr="00E8266D" w:rsidRDefault="00E8266D" w:rsidP="009556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E8266D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Port konsoli – USB-C.</w:t>
            </w:r>
          </w:p>
          <w:p w14:paraId="6F99D393" w14:textId="77777777" w:rsidR="00E8266D" w:rsidRPr="00E8266D" w:rsidRDefault="00E8266D" w:rsidP="009556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E8266D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Minimum 1 port USB typu A.</w:t>
            </w:r>
          </w:p>
          <w:p w14:paraId="7B56B053" w14:textId="77777777" w:rsidR="00E8266D" w:rsidRPr="00E8266D" w:rsidRDefault="00E8266D" w:rsidP="009556D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E8266D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Port zarządzanie OOBM.</w:t>
            </w:r>
          </w:p>
          <w:p w14:paraId="47B75F28" w14:textId="0B714B0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Porty SFP+ umożliwia</w:t>
            </w:r>
            <w:r w:rsidR="00A97A2F">
              <w:rPr>
                <w:rFonts w:eastAsia="Calibri" w:cstheme="minorHAnsi"/>
                <w:sz w:val="20"/>
                <w:szCs w:val="20"/>
              </w:rPr>
              <w:t>ją</w:t>
            </w:r>
            <w:r w:rsidRPr="00E8266D">
              <w:rPr>
                <w:rFonts w:eastAsia="Calibri" w:cstheme="minorHAnsi"/>
                <w:sz w:val="20"/>
                <w:szCs w:val="20"/>
              </w:rPr>
              <w:t xml:space="preserve"> ich obsadzanie wkładkami  minimum 10GBase-SR, LR, ER, 10Gbase-T oraz Gigabit Ethernet – minimum 1000Base- SX, 1000Base LX/LH.</w:t>
            </w:r>
          </w:p>
          <w:p w14:paraId="60CA56DF" w14:textId="12F4F8AC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Co najmniej 4 porty (typu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uplink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>) QSFP28 umożliwia</w:t>
            </w:r>
            <w:r w:rsidR="00A97A2F">
              <w:rPr>
                <w:rFonts w:eastAsia="Calibri" w:cstheme="minorHAnsi"/>
                <w:sz w:val="20"/>
                <w:szCs w:val="20"/>
              </w:rPr>
              <w:t>ją</w:t>
            </w:r>
            <w:r w:rsidRPr="00E8266D">
              <w:rPr>
                <w:rFonts w:eastAsia="Calibri" w:cstheme="minorHAnsi"/>
                <w:sz w:val="20"/>
                <w:szCs w:val="20"/>
              </w:rPr>
              <w:t xml:space="preserve"> ich obsadzanie wkładkami QSFP28 100Gbit, QSFP+ 40 Gigabit Ethernet a także kablami DAC 40Gbit 100Gbit jak i 4x10G oraz 4x25G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breakout</w:t>
            </w:r>
            <w:proofErr w:type="spellEnd"/>
          </w:p>
          <w:p w14:paraId="4D73A4F1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Funkcja łączenia przełączników w grupy co najmniej 2 urządzeń, w sposób ciągły synchronizujących ze sobą konfiguracje przy zachowaniu niezależnych płaszczyzn zarządzani (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control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plane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>). Przełączniki połączone w grupę muszą zapewnić co najmniej: realizację łączy agregowanych w ramach różnych przełączników będących w grupie, architekturę, w której oba przełączniki są aktywne dla funkcji L2 i L3, funkcje typu ISSU lub Live Upgrade.</w:t>
            </w:r>
          </w:p>
        </w:tc>
        <w:tc>
          <w:tcPr>
            <w:tcW w:w="690" w:type="pct"/>
            <w:vAlign w:val="center"/>
          </w:tcPr>
          <w:p w14:paraId="01A45F7C" w14:textId="77777777" w:rsidR="00E8266D" w:rsidRPr="00E8266D" w:rsidRDefault="00E8266D" w:rsidP="00E8266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E8266D" w:rsidRPr="00E8266D" w14:paraId="5566A191" w14:textId="19EFC442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11C5FB72" w14:textId="41ADB1BB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3.</w:t>
            </w:r>
          </w:p>
        </w:tc>
        <w:tc>
          <w:tcPr>
            <w:tcW w:w="1124" w:type="pct"/>
            <w:vAlign w:val="center"/>
            <w:hideMark/>
          </w:tcPr>
          <w:p w14:paraId="4EED704A" w14:textId="716383D8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Parametry fizyczne</w:t>
            </w:r>
          </w:p>
        </w:tc>
        <w:tc>
          <w:tcPr>
            <w:tcW w:w="2968" w:type="pct"/>
            <w:vAlign w:val="center"/>
            <w:hideMark/>
          </w:tcPr>
          <w:p w14:paraId="05F9A61F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Wysokość maksymalnie 1U, montowany w szafie typu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rack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 xml:space="preserve"> 19’’</w:t>
            </w:r>
          </w:p>
        </w:tc>
        <w:tc>
          <w:tcPr>
            <w:tcW w:w="690" w:type="pct"/>
            <w:vAlign w:val="center"/>
          </w:tcPr>
          <w:p w14:paraId="1E48D1E6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E8266D" w14:paraId="1DBD156F" w14:textId="6AA93331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43244680" w14:textId="679A690C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4.</w:t>
            </w:r>
          </w:p>
        </w:tc>
        <w:tc>
          <w:tcPr>
            <w:tcW w:w="1124" w:type="pct"/>
            <w:vAlign w:val="center"/>
            <w:hideMark/>
          </w:tcPr>
          <w:p w14:paraId="5D511B41" w14:textId="734BEF32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Pamięć</w:t>
            </w:r>
          </w:p>
        </w:tc>
        <w:tc>
          <w:tcPr>
            <w:tcW w:w="2968" w:type="pct"/>
            <w:vAlign w:val="center"/>
            <w:hideMark/>
          </w:tcPr>
          <w:p w14:paraId="0B8F75D1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Co najmniej 16GB pamięci</w:t>
            </w:r>
          </w:p>
          <w:p w14:paraId="19A7874E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Co najmniej 32GB pamięci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flash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storage</w:t>
            </w:r>
            <w:proofErr w:type="spellEnd"/>
          </w:p>
          <w:p w14:paraId="4AFE6D8A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Bufor pakietów 32MB</w:t>
            </w:r>
          </w:p>
        </w:tc>
        <w:tc>
          <w:tcPr>
            <w:tcW w:w="690" w:type="pct"/>
            <w:vAlign w:val="center"/>
          </w:tcPr>
          <w:p w14:paraId="781DBDB2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E8266D" w14:paraId="09F42951" w14:textId="2803448F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72B09B45" w14:textId="4C2AE56C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5.</w:t>
            </w:r>
          </w:p>
        </w:tc>
        <w:tc>
          <w:tcPr>
            <w:tcW w:w="1124" w:type="pct"/>
            <w:vAlign w:val="center"/>
            <w:hideMark/>
          </w:tcPr>
          <w:p w14:paraId="79EC160B" w14:textId="61B187B8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Wielkość tablicy adresów MAC</w:t>
            </w:r>
          </w:p>
        </w:tc>
        <w:tc>
          <w:tcPr>
            <w:tcW w:w="2968" w:type="pct"/>
            <w:vAlign w:val="center"/>
            <w:hideMark/>
          </w:tcPr>
          <w:p w14:paraId="71169237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Co najmniej 147 000</w:t>
            </w:r>
          </w:p>
        </w:tc>
        <w:tc>
          <w:tcPr>
            <w:tcW w:w="690" w:type="pct"/>
            <w:vAlign w:val="center"/>
          </w:tcPr>
          <w:p w14:paraId="2069F532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E8266D" w14:paraId="3289B305" w14:textId="1BF05170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7DF6326A" w14:textId="17044456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6.</w:t>
            </w:r>
          </w:p>
        </w:tc>
        <w:tc>
          <w:tcPr>
            <w:tcW w:w="1124" w:type="pct"/>
            <w:vAlign w:val="center"/>
            <w:hideMark/>
          </w:tcPr>
          <w:p w14:paraId="76E1BA1A" w14:textId="7C41A8D0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Ilość obsługiwanych sieci VLAN</w:t>
            </w:r>
          </w:p>
        </w:tc>
        <w:tc>
          <w:tcPr>
            <w:tcW w:w="2968" w:type="pct"/>
            <w:vAlign w:val="center"/>
            <w:hideMark/>
          </w:tcPr>
          <w:p w14:paraId="4CAD61B1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Co najmniej 1024 jednoczesnych VLAN spośród wszystkich 4096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tagowanych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690" w:type="pct"/>
            <w:vAlign w:val="center"/>
          </w:tcPr>
          <w:p w14:paraId="6D70FA18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7439D5" w14:paraId="772F7064" w14:textId="223764B4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32A653AE" w14:textId="36C369CE" w:rsidR="00E8266D" w:rsidRPr="00E8266D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7.</w:t>
            </w:r>
          </w:p>
        </w:tc>
        <w:tc>
          <w:tcPr>
            <w:tcW w:w="1124" w:type="pct"/>
            <w:vAlign w:val="center"/>
            <w:hideMark/>
          </w:tcPr>
          <w:p w14:paraId="67A599FC" w14:textId="68F8FA4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Wydajność </w:t>
            </w:r>
          </w:p>
        </w:tc>
        <w:tc>
          <w:tcPr>
            <w:tcW w:w="2968" w:type="pct"/>
            <w:vAlign w:val="center"/>
            <w:hideMark/>
          </w:tcPr>
          <w:p w14:paraId="57114A36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 xml:space="preserve">Przepustowość przełączania: min. 1.28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</w:rPr>
              <w:t>Tbps</w:t>
            </w:r>
            <w:proofErr w:type="spellEnd"/>
          </w:p>
          <w:p w14:paraId="4D58E883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8266D">
              <w:rPr>
                <w:rFonts w:eastAsia="Calibri" w:cstheme="minorHAnsi"/>
                <w:sz w:val="20"/>
                <w:szCs w:val="20"/>
              </w:rPr>
              <w:t>Procesor minimum 1,8 GHz 4-core, 64-bit</w:t>
            </w:r>
          </w:p>
          <w:p w14:paraId="66DCBCD5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IPv4 Host Table  65,000</w:t>
            </w:r>
          </w:p>
          <w:p w14:paraId="3D453004" w14:textId="1319FE36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IPv6 Host Table  65,000</w:t>
            </w:r>
          </w:p>
          <w:p w14:paraId="224FCDDD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IPv4 Unicast Routes  24,000</w:t>
            </w:r>
          </w:p>
          <w:p w14:paraId="6A996AE7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IPv6 Unicast Routes  12,000</w:t>
            </w:r>
          </w:p>
          <w:p w14:paraId="1AA71509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proofErr w:type="spellStart"/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Wpisy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 xml:space="preserve"> ACL </w:t>
            </w:r>
            <w:proofErr w:type="spellStart"/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typu</w:t>
            </w:r>
            <w:proofErr w:type="spellEnd"/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 xml:space="preserve"> Ingress</w:t>
            </w:r>
          </w:p>
          <w:p w14:paraId="16DEAA14" w14:textId="77777777" w:rsidR="00E8266D" w:rsidRPr="00E8266D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E8266D">
              <w:rPr>
                <w:rFonts w:eastAsia="Calibri" w:cstheme="minorHAnsi"/>
                <w:sz w:val="20"/>
                <w:szCs w:val="20"/>
                <w:lang w:val="en-IE"/>
              </w:rPr>
              <w:t>IPv4 16,384, IPv6 4,096 , MAC 16,384</w:t>
            </w:r>
          </w:p>
        </w:tc>
        <w:tc>
          <w:tcPr>
            <w:tcW w:w="690" w:type="pct"/>
            <w:vAlign w:val="center"/>
          </w:tcPr>
          <w:p w14:paraId="421F1C24" w14:textId="77777777" w:rsidR="00E8266D" w:rsidRPr="00A97A2F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n-IE"/>
              </w:rPr>
            </w:pPr>
          </w:p>
        </w:tc>
      </w:tr>
      <w:tr w:rsidR="00E8266D" w:rsidRPr="00E8266D" w14:paraId="7FD8AE52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1A2E4A69" w14:textId="3B245D95" w:rsidR="00E8266D" w:rsidRPr="00F24790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8.</w:t>
            </w:r>
          </w:p>
        </w:tc>
        <w:tc>
          <w:tcPr>
            <w:tcW w:w="1124" w:type="pct"/>
          </w:tcPr>
          <w:p w14:paraId="7CE95E81" w14:textId="05B55CA5" w:rsidR="00E8266D" w:rsidRPr="00F24790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Obsługa ramek Jumbo</w:t>
            </w:r>
          </w:p>
        </w:tc>
        <w:tc>
          <w:tcPr>
            <w:tcW w:w="2968" w:type="pct"/>
          </w:tcPr>
          <w:p w14:paraId="1FDB7C31" w14:textId="19AFE136" w:rsidR="00E8266D" w:rsidRPr="00F24790" w:rsidRDefault="00E8266D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O wielkości co najmniej 9kB</w:t>
            </w:r>
          </w:p>
        </w:tc>
        <w:tc>
          <w:tcPr>
            <w:tcW w:w="690" w:type="pct"/>
            <w:vAlign w:val="center"/>
          </w:tcPr>
          <w:p w14:paraId="42382B0F" w14:textId="77777777" w:rsidR="00E8266D" w:rsidRPr="00E8266D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8266D" w:rsidRPr="007439D5" w14:paraId="0EE8B295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52CC7728" w14:textId="59A407DC" w:rsidR="00E8266D" w:rsidRPr="00F24790" w:rsidRDefault="009556D9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9.</w:t>
            </w:r>
          </w:p>
        </w:tc>
        <w:tc>
          <w:tcPr>
            <w:tcW w:w="1124" w:type="pct"/>
            <w:vAlign w:val="center"/>
          </w:tcPr>
          <w:p w14:paraId="09042A4D" w14:textId="0D98D070" w:rsidR="00E8266D" w:rsidRPr="00F24790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Routing</w:t>
            </w:r>
          </w:p>
        </w:tc>
        <w:tc>
          <w:tcPr>
            <w:tcW w:w="2968" w:type="pct"/>
            <w:vAlign w:val="center"/>
          </w:tcPr>
          <w:p w14:paraId="6BA0F2C6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Static IPv4 routing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oraz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Static IPv6 routing.</w:t>
            </w:r>
          </w:p>
          <w:p w14:paraId="188E81E7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Obsługa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dynamicznych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protokołów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routingu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takich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jak: Open shortest path first (OSPF), Border Gateway Protocol 4 (BGP-4), Routing Information Protocol version 2 (RIPv2), Routing Information Protocol Next Generation (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RIPng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), Multiprotocol BGP (MP-BGP), OSPFv3.</w:t>
            </w:r>
          </w:p>
          <w:p w14:paraId="2E1A4B05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Policy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Based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Routing (PBR).</w:t>
            </w:r>
          </w:p>
          <w:p w14:paraId="41BCB8F6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Enkapsulacja 6in4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tunnels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  <w:p w14:paraId="51C2A41A" w14:textId="77777777" w:rsid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Equal-Cost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multipath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(ECMP).</w:t>
            </w:r>
          </w:p>
          <w:p w14:paraId="7FD78D9B" w14:textId="0F6FDECA" w:rsidR="00E8266D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Wsparcie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dla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Generic Routing Encapsulation (GRE).</w:t>
            </w:r>
          </w:p>
        </w:tc>
        <w:tc>
          <w:tcPr>
            <w:tcW w:w="690" w:type="pct"/>
            <w:vAlign w:val="center"/>
          </w:tcPr>
          <w:p w14:paraId="0B607803" w14:textId="77777777" w:rsidR="00E8266D" w:rsidRPr="00F24790" w:rsidRDefault="00E8266D" w:rsidP="00E8266D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fr-FR"/>
              </w:rPr>
            </w:pPr>
          </w:p>
        </w:tc>
      </w:tr>
      <w:tr w:rsidR="00F24790" w:rsidRPr="00E8266D" w14:paraId="2A1D4DE5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2E6B0C37" w14:textId="314C6DD7" w:rsidR="00F24790" w:rsidRPr="00F24790" w:rsidRDefault="009556D9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fr-FR"/>
              </w:rPr>
            </w:pPr>
            <w:r>
              <w:rPr>
                <w:rFonts w:eastAsia="Calibri" w:cstheme="minorHAnsi"/>
                <w:sz w:val="20"/>
                <w:szCs w:val="20"/>
                <w:lang w:val="fr-FR"/>
              </w:rPr>
              <w:lastRenderedPageBreak/>
              <w:t>10.</w:t>
            </w:r>
          </w:p>
        </w:tc>
        <w:tc>
          <w:tcPr>
            <w:tcW w:w="1124" w:type="pct"/>
            <w:vAlign w:val="center"/>
          </w:tcPr>
          <w:p w14:paraId="5BC05BD7" w14:textId="75CFB3BC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Funkcjonalność urządzenia</w:t>
            </w:r>
          </w:p>
        </w:tc>
        <w:tc>
          <w:tcPr>
            <w:tcW w:w="2968" w:type="pct"/>
          </w:tcPr>
          <w:p w14:paraId="0D69565C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obsługa agregacji portów zgodnie z LACP (IEEE 802.3ad),</w:t>
            </w:r>
          </w:p>
          <w:p w14:paraId="1D22B368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 xml:space="preserve">możliwość zdefiniowania min. 50 grup agregacji do 8 portów w pojedynczej grupie,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user-selectable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L1- 4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hashing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algorithm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>,</w:t>
            </w:r>
          </w:p>
          <w:p w14:paraId="57496828" w14:textId="5AF4AA29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obsługa protokołu NTP,</w:t>
            </w:r>
          </w:p>
          <w:p w14:paraId="362DBC65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IEEE 802.1AB Link Layer Discovery Protocol (LLDP),</w:t>
            </w:r>
          </w:p>
          <w:p w14:paraId="13A13DD2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 xml:space="preserve">wsparcie dla protokołów IEEE 802.1w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Rapid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oraz IEEE 802.1s Multi-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Instance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>,</w:t>
            </w:r>
          </w:p>
          <w:p w14:paraId="2BCD4D93" w14:textId="7730D244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 xml:space="preserve"> wyposażone w port USB umożliwiający podłączenie pamięci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>.</w:t>
            </w:r>
          </w:p>
          <w:p w14:paraId="7E25C149" w14:textId="26FF5FB5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możliwość zarządzania poprzez interfejs CLI z poziomu portu konsoli,</w:t>
            </w:r>
          </w:p>
          <w:p w14:paraId="09751944" w14:textId="31047ABA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>umożliwia zdalną obserwację ruchu na określonym porcie, polegającą na kopiowaniu pojawiających się na nim ramek i przesyłaniu ich do zdalnego urządzenia monitorującego, poprzez dedykowaną sieć VLAN,</w:t>
            </w:r>
          </w:p>
          <w:p w14:paraId="6C56F009" w14:textId="2EFB91A2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 xml:space="preserve">plik konfiguracyjny urządzenia </w:t>
            </w:r>
            <w:r w:rsidR="00A97A2F">
              <w:rPr>
                <w:rFonts w:cstheme="minorHAnsi"/>
                <w:sz w:val="20"/>
                <w:szCs w:val="20"/>
              </w:rPr>
              <w:t xml:space="preserve">jest </w:t>
            </w:r>
            <w:r w:rsidRPr="00F24790">
              <w:rPr>
                <w:rFonts w:cstheme="minorHAnsi"/>
                <w:sz w:val="20"/>
                <w:szCs w:val="20"/>
              </w:rPr>
              <w:t>możliwy do edycji w trybie off-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line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(tzn. konieczna jest możliwość przeglądania i zmian konfiguracji w pliku tekstowym na dowolnym urządzeniu PC). Po zapisaniu konfiguracji w pamięci nieulotnej </w:t>
            </w:r>
            <w:r w:rsidR="00A97A2F">
              <w:rPr>
                <w:rFonts w:cstheme="minorHAnsi"/>
                <w:sz w:val="20"/>
                <w:szCs w:val="20"/>
              </w:rPr>
              <w:t>jest</w:t>
            </w:r>
            <w:r w:rsidRPr="00F24790">
              <w:rPr>
                <w:rFonts w:cstheme="minorHAnsi"/>
                <w:sz w:val="20"/>
                <w:szCs w:val="20"/>
              </w:rPr>
              <w:t xml:space="preserve"> możliwe uruchomienie urządzenia z nową konfiguracją.</w:t>
            </w:r>
          </w:p>
          <w:p w14:paraId="5E437B29" w14:textId="46AB1456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</w:rPr>
            </w:pPr>
            <w:r w:rsidRPr="00F24790">
              <w:rPr>
                <w:rFonts w:cstheme="minorHAnsi"/>
                <w:sz w:val="20"/>
                <w:szCs w:val="20"/>
              </w:rPr>
              <w:t xml:space="preserve">oprócz konfiguracji przez konsolę przełącznik umożliwia inne metody konfiguracji zdalnej, scentralizowanej w tym przez: dedykowane oprogramowanie producenta), poprzez chmurowe środowisko </w:t>
            </w:r>
            <w:proofErr w:type="spellStart"/>
            <w:r w:rsidRPr="00F24790">
              <w:rPr>
                <w:rFonts w:cstheme="minorHAnsi"/>
                <w:sz w:val="20"/>
                <w:szCs w:val="20"/>
              </w:rPr>
              <w:t>managementowe</w:t>
            </w:r>
            <w:proofErr w:type="spellEnd"/>
            <w:r w:rsidRPr="00F24790">
              <w:rPr>
                <w:rFonts w:cstheme="minorHAnsi"/>
                <w:sz w:val="20"/>
                <w:szCs w:val="20"/>
              </w:rPr>
              <w:t xml:space="preserve"> w przypadku rozproszonego środowiska klienckiego, poprzez REST API.</w:t>
            </w:r>
          </w:p>
          <w:p w14:paraId="5DD8B154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Wsparcie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dla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Virtual Router Redundancy Protocol (VRRP),</w:t>
            </w:r>
          </w:p>
          <w:p w14:paraId="5D17D0C2" w14:textId="2C37F8B1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Bidirectional forward detection (BFD).</w:t>
            </w:r>
          </w:p>
          <w:p w14:paraId="75B09C3B" w14:textId="77777777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Ethernet Ring Protection Switching (ERPS).</w:t>
            </w:r>
          </w:p>
          <w:p w14:paraId="707D7609" w14:textId="77777777" w:rsid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F24790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F24790">
              <w:rPr>
                <w:rFonts w:cstheme="minorHAnsi"/>
                <w:sz w:val="20"/>
                <w:szCs w:val="20"/>
                <w:lang w:val="en-IE"/>
              </w:rPr>
              <w:t xml:space="preserve"> Unidirectional link detection (UDLD).</w:t>
            </w:r>
          </w:p>
          <w:p w14:paraId="7D903A57" w14:textId="13DBC0BB" w:rsidR="00F24790" w:rsidRPr="00F24790" w:rsidRDefault="00F24790" w:rsidP="00E8296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r w:rsidRPr="00F24790">
              <w:rPr>
                <w:rFonts w:cstheme="minorHAnsi"/>
                <w:sz w:val="20"/>
                <w:szCs w:val="20"/>
              </w:rPr>
              <w:t>wbudowane w przełącznik rozwiązanie analizatora ramek typy NAE (Network Analytics Engine) zapewniające większy wgląd w ruch w sieci, umożliwiający lepszy, scentralizowany management, kontrolę pasma i treści oraz przyspieszający diagnostykę, przewidywanie i usuwanie usterek w sieci.</w:t>
            </w:r>
          </w:p>
        </w:tc>
        <w:tc>
          <w:tcPr>
            <w:tcW w:w="690" w:type="pct"/>
            <w:vAlign w:val="center"/>
          </w:tcPr>
          <w:p w14:paraId="211B29BF" w14:textId="77777777" w:rsidR="00F24790" w:rsidRPr="00E8266D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E8266D" w14:paraId="77E1ED90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0A15CF19" w14:textId="088AA03F" w:rsidR="00F24790" w:rsidRPr="00F24790" w:rsidRDefault="009556D9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124" w:type="pct"/>
            <w:vAlign w:val="center"/>
          </w:tcPr>
          <w:p w14:paraId="01B6BA3F" w14:textId="443EF586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Bezpieczeństwo</w:t>
            </w:r>
          </w:p>
        </w:tc>
        <w:tc>
          <w:tcPr>
            <w:tcW w:w="2968" w:type="pct"/>
            <w:vAlign w:val="center"/>
          </w:tcPr>
          <w:p w14:paraId="591BB00C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klasyfikacja ruchu do klas różnej jakości obsługi (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QoS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) poprzez wykorzystanie co najmniej następujących parametrów: źródłowy/docelowy adres MAC, źródłowy/docelowy adres IP, źródłowy/docelowy port TCP,</w:t>
            </w:r>
          </w:p>
          <w:p w14:paraId="163D9BBF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Shaped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Round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Robin,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Deficit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Weighted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Round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Robin lub podobnego dla obsługi tych kolejek,</w:t>
            </w:r>
          </w:p>
          <w:p w14:paraId="117BAB1A" w14:textId="77777777" w:rsid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możliwość obsługi jednej z powyżej wymienionych kolejek z bezwzględnym priorytetem w stosunku do innych (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Strict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Priority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),</w:t>
            </w:r>
          </w:p>
          <w:p w14:paraId="5A13A3EB" w14:textId="04E2F272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możliwość ograniczania pasma dostępnego na danym porcie dla ruchu o danej klasie obsługi.</w:t>
            </w:r>
          </w:p>
        </w:tc>
        <w:tc>
          <w:tcPr>
            <w:tcW w:w="690" w:type="pct"/>
            <w:vAlign w:val="center"/>
          </w:tcPr>
          <w:p w14:paraId="3E84634A" w14:textId="77777777" w:rsidR="00F24790" w:rsidRPr="00E8266D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7439D5" w14:paraId="36AD9F17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4791B9FA" w14:textId="4CFA94F0" w:rsidR="00F24790" w:rsidRPr="00F24790" w:rsidRDefault="009556D9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12.</w:t>
            </w:r>
          </w:p>
        </w:tc>
        <w:tc>
          <w:tcPr>
            <w:tcW w:w="1124" w:type="pct"/>
            <w:vAlign w:val="center"/>
          </w:tcPr>
          <w:p w14:paraId="3C98855C" w14:textId="6C90E1F2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Multicast</w:t>
            </w:r>
          </w:p>
        </w:tc>
        <w:tc>
          <w:tcPr>
            <w:tcW w:w="2968" w:type="pct"/>
            <w:vAlign w:val="center"/>
          </w:tcPr>
          <w:p w14:paraId="5BCBE9B1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Obsługa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Internet Group Management Protocol (IGMP).</w:t>
            </w:r>
          </w:p>
          <w:p w14:paraId="38D10CB5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Wsparcie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dla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Multicast Listener Discovery (MLD).</w:t>
            </w:r>
          </w:p>
          <w:p w14:paraId="46E15AB0" w14:textId="77777777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</w:pP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>Obsługa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:lang w:val="en-IE"/>
                <w14:ligatures w14:val="none"/>
              </w:rPr>
              <w:t xml:space="preserve"> Multicast Service Delivery Protocol (MSDP) for Anycast RP.</w:t>
            </w:r>
          </w:p>
          <w:p w14:paraId="7D168D68" w14:textId="77777777" w:rsid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Mechanizm bezpieczeństwa IGMP/MLD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Snooping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  <w:p w14:paraId="4240F695" w14:textId="771BB5B3" w:rsidR="00F24790" w:rsidRPr="00F24790" w:rsidRDefault="00F24790" w:rsidP="00E8296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76" w:lineRule="auto"/>
              <w:ind w:left="190" w:hanging="142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r w:rsidRPr="00F24790">
              <w:rPr>
                <w:rFonts w:eastAsia="Calibri" w:cstheme="minorHAnsi"/>
                <w:sz w:val="20"/>
                <w:szCs w:val="20"/>
                <w:lang w:val="fr-FR"/>
              </w:rPr>
              <w:t>Wsparcie dla Protocol Independent Multicast (PIM).</w:t>
            </w:r>
          </w:p>
        </w:tc>
        <w:tc>
          <w:tcPr>
            <w:tcW w:w="690" w:type="pct"/>
            <w:vAlign w:val="center"/>
          </w:tcPr>
          <w:p w14:paraId="51409C00" w14:textId="77777777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fr-FR"/>
              </w:rPr>
            </w:pPr>
          </w:p>
        </w:tc>
      </w:tr>
      <w:tr w:rsidR="00F24790" w:rsidRPr="00E8266D" w14:paraId="1D2582DF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480AD485" w14:textId="2887DF91" w:rsidR="00F24790" w:rsidRPr="00F24790" w:rsidRDefault="009556D9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fr-FR"/>
              </w:rPr>
            </w:pPr>
            <w:r>
              <w:rPr>
                <w:rFonts w:eastAsia="Calibri" w:cstheme="minorHAnsi"/>
                <w:sz w:val="20"/>
                <w:szCs w:val="20"/>
                <w:lang w:val="fr-FR"/>
              </w:rPr>
              <w:t>13.</w:t>
            </w:r>
          </w:p>
        </w:tc>
        <w:tc>
          <w:tcPr>
            <w:tcW w:w="1124" w:type="pct"/>
            <w:vAlign w:val="center"/>
          </w:tcPr>
          <w:p w14:paraId="6287BE4B" w14:textId="4F33CD51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fr-FR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Zasilanie</w:t>
            </w:r>
          </w:p>
        </w:tc>
        <w:tc>
          <w:tcPr>
            <w:tcW w:w="2968" w:type="pct"/>
            <w:vAlign w:val="center"/>
          </w:tcPr>
          <w:p w14:paraId="4FFE32BE" w14:textId="77777777" w:rsidR="00F24790" w:rsidRPr="00F24790" w:rsidRDefault="00F24790" w:rsidP="009556D9">
            <w:pPr>
              <w:spacing w:before="120" w:after="120"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Zasilacz 230V AC wymieniany hot-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</w:rPr>
              <w:t>swap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</w:rPr>
              <w:t>, możliwość zastosowania redundantnego zasilacza wewnętrznego także hot-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</w:rPr>
              <w:t>swap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</w:rPr>
              <w:t>switch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</w:rPr>
              <w:t xml:space="preserve"> należy dostarczyć razem z dodatkowym zasilaczem redundantnym.</w:t>
            </w:r>
          </w:p>
          <w:p w14:paraId="0C9C2422" w14:textId="01414A64" w:rsidR="00F24790" w:rsidRPr="00F24790" w:rsidRDefault="00F24790" w:rsidP="009556D9">
            <w:pPr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Przełącznik dodatkowo posiad</w:t>
            </w:r>
            <w:r w:rsidR="00A97A2F">
              <w:rPr>
                <w:rFonts w:eastAsia="Calibri" w:cstheme="minorHAnsi"/>
                <w:sz w:val="20"/>
                <w:szCs w:val="20"/>
              </w:rPr>
              <w:t>a</w:t>
            </w:r>
            <w:r w:rsidRPr="00F24790">
              <w:rPr>
                <w:rFonts w:eastAsia="Calibri" w:cstheme="minorHAnsi"/>
                <w:sz w:val="20"/>
                <w:szCs w:val="20"/>
              </w:rPr>
              <w:t xml:space="preserve"> wentylację wymienną redundantną w postaci modułów hot-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</w:rPr>
              <w:t>swap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</w:rPr>
              <w:t xml:space="preserve"> i przepływ powietrza front to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</w:rPr>
              <w:t>back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690" w:type="pct"/>
            <w:vAlign w:val="center"/>
          </w:tcPr>
          <w:p w14:paraId="5D22DA82" w14:textId="77777777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E8266D" w14:paraId="3D09A55B" w14:textId="77777777" w:rsidTr="00E82963">
        <w:trPr>
          <w:cantSplit/>
          <w:jc w:val="center"/>
        </w:trPr>
        <w:tc>
          <w:tcPr>
            <w:tcW w:w="218" w:type="pct"/>
            <w:vAlign w:val="center"/>
          </w:tcPr>
          <w:p w14:paraId="3079D8FC" w14:textId="623E0477" w:rsidR="00F24790" w:rsidRPr="00F24790" w:rsidRDefault="009556D9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14.</w:t>
            </w:r>
          </w:p>
        </w:tc>
        <w:tc>
          <w:tcPr>
            <w:tcW w:w="1124" w:type="pct"/>
            <w:vAlign w:val="center"/>
          </w:tcPr>
          <w:p w14:paraId="4D860041" w14:textId="10A219BE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Akcesoria</w:t>
            </w:r>
          </w:p>
        </w:tc>
        <w:tc>
          <w:tcPr>
            <w:tcW w:w="2968" w:type="pct"/>
            <w:vAlign w:val="center"/>
          </w:tcPr>
          <w:p w14:paraId="75836CE9" w14:textId="778CE3BD" w:rsidR="00F24790" w:rsidRPr="00F24790" w:rsidRDefault="00F24790" w:rsidP="009556D9">
            <w:pPr>
              <w:spacing w:before="120" w:after="120"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Razem z każdym przełącznikiem dostarcz</w:t>
            </w:r>
            <w:r w:rsidR="00A97A2F">
              <w:rPr>
                <w:rFonts w:eastAsia="Calibri" w:cstheme="minorHAnsi"/>
                <w:sz w:val="20"/>
                <w:szCs w:val="20"/>
              </w:rPr>
              <w:t>one są</w:t>
            </w:r>
            <w:r w:rsidRPr="00F24790">
              <w:rPr>
                <w:rFonts w:eastAsia="Calibri" w:cstheme="minorHAnsi"/>
                <w:sz w:val="20"/>
                <w:szCs w:val="20"/>
              </w:rPr>
              <w:t xml:space="preserve"> akcesoria tego samego producenta:</w:t>
            </w:r>
          </w:p>
          <w:p w14:paraId="3136F8CF" w14:textId="77777777" w:rsidR="00F24790" w:rsidRDefault="00F24790" w:rsidP="00E8296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76" w:lineRule="auto"/>
              <w:ind w:left="331" w:hanging="283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Mocowanie do szafy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rach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 xml:space="preserve"> (4-post </w:t>
            </w:r>
            <w:proofErr w:type="spellStart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universal</w:t>
            </w:r>
            <w:proofErr w:type="spellEnd"/>
            <w:r w:rsidRPr="00F24790"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  <w:t>).</w:t>
            </w:r>
          </w:p>
          <w:p w14:paraId="28C4AD1C" w14:textId="0B9A157C" w:rsidR="00F24790" w:rsidRPr="00F24790" w:rsidRDefault="00F24790" w:rsidP="00E8296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76" w:lineRule="auto"/>
              <w:ind w:left="331" w:hanging="283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Kable DAC 100Gbit – 1 szt. o długości co najmniej 1m.</w:t>
            </w:r>
          </w:p>
        </w:tc>
        <w:tc>
          <w:tcPr>
            <w:tcW w:w="690" w:type="pct"/>
            <w:vAlign w:val="center"/>
          </w:tcPr>
          <w:p w14:paraId="1C31C971" w14:textId="77777777" w:rsidR="00F24790" w:rsidRPr="00F24790" w:rsidRDefault="00F24790" w:rsidP="00F24790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6C8806CA" w14:textId="77777777" w:rsidR="00F24790" w:rsidRDefault="00F24790" w:rsidP="00E23D76">
      <w:pPr>
        <w:spacing w:after="0" w:line="276" w:lineRule="auto"/>
        <w:rPr>
          <w:rFonts w:ascii="Calibri" w:eastAsia="Calibri" w:hAnsi="Calibri" w:cs="Calibri"/>
          <w:i/>
          <w:iCs/>
          <w:kern w:val="0"/>
          <w:sz w:val="24"/>
          <w:szCs w:val="24"/>
          <w:lang w:val="en-IE"/>
          <w14:ligatures w14:val="none"/>
        </w:rPr>
        <w:sectPr w:rsidR="00F2479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9795BAF" w14:textId="452DEF88" w:rsidR="00F24790" w:rsidRPr="00E23D76" w:rsidRDefault="00F24790" w:rsidP="00F24790">
      <w:pPr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2 </w:t>
      </w:r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Serwer </w:t>
      </w:r>
      <w:proofErr w:type="spellStart"/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Rack</w:t>
      </w:r>
      <w:proofErr w:type="spellEnd"/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t>(8 szt.)</w:t>
      </w:r>
    </w:p>
    <w:p w14:paraId="7FBF1C6A" w14:textId="77777777" w:rsidR="00F24790" w:rsidRPr="00E8266D" w:rsidRDefault="00F24790" w:rsidP="00F24790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Producent : …………………………………………………………………………...……………;</w:t>
      </w:r>
    </w:p>
    <w:p w14:paraId="61B21886" w14:textId="77777777" w:rsidR="00F24790" w:rsidRPr="00E8266D" w:rsidRDefault="00F24790" w:rsidP="00F24790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Model i symbol urządzenia: ……….………………………………………………………………………..;</w:t>
      </w:r>
    </w:p>
    <w:p w14:paraId="0863BD00" w14:textId="77777777" w:rsidR="00F24790" w:rsidRPr="00E8266D" w:rsidRDefault="00F24790" w:rsidP="00F24790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Pozostałe niezbędne elementy identyfikacyjne (jeśli występują i są niezbędne):………..….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006"/>
        <w:gridCol w:w="5377"/>
        <w:gridCol w:w="1253"/>
      </w:tblGrid>
      <w:tr w:rsidR="00F24790" w:rsidRPr="00F24790" w14:paraId="56FF5D9D" w14:textId="77777777" w:rsidTr="00E82963">
        <w:trPr>
          <w:cantSplit/>
          <w:jc w:val="center"/>
        </w:trPr>
        <w:tc>
          <w:tcPr>
            <w:tcW w:w="230" w:type="pct"/>
            <w:shd w:val="clear" w:color="auto" w:fill="B8CCE4"/>
            <w:vAlign w:val="center"/>
          </w:tcPr>
          <w:p w14:paraId="75566730" w14:textId="77777777" w:rsidR="00F24790" w:rsidRPr="00F24790" w:rsidRDefault="00F24790" w:rsidP="009556D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108" w:type="pct"/>
            <w:shd w:val="clear" w:color="auto" w:fill="B8CCE4"/>
            <w:vAlign w:val="center"/>
          </w:tcPr>
          <w:p w14:paraId="0EC19380" w14:textId="5745272D" w:rsidR="00F24790" w:rsidRPr="00E8266D" w:rsidRDefault="009556D9" w:rsidP="009556D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970" w:type="pct"/>
            <w:shd w:val="clear" w:color="auto" w:fill="B8CCE4"/>
            <w:vAlign w:val="center"/>
          </w:tcPr>
          <w:p w14:paraId="3344611B" w14:textId="77777777" w:rsidR="00F24790" w:rsidRPr="00E8266D" w:rsidRDefault="00F24790" w:rsidP="009556D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  <w:t>Wymagan</w:t>
            </w:r>
            <w:r w:rsidRPr="00F24790">
              <w:rPr>
                <w:rFonts w:cstheme="minorHAnsi"/>
                <w:b/>
                <w:sz w:val="20"/>
                <w:szCs w:val="20"/>
              </w:rPr>
              <w:t>e</w:t>
            </w:r>
            <w:r w:rsidRPr="00E23D76"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minimalne</w:t>
            </w:r>
            <w:r w:rsidRPr="00F24790">
              <w:rPr>
                <w:rFonts w:cstheme="minorHAnsi"/>
                <w:b/>
                <w:sz w:val="20"/>
                <w:szCs w:val="20"/>
              </w:rPr>
              <w:t xml:space="preserve"> parametry techniczne</w:t>
            </w:r>
          </w:p>
        </w:tc>
        <w:tc>
          <w:tcPr>
            <w:tcW w:w="692" w:type="pct"/>
            <w:shd w:val="clear" w:color="auto" w:fill="B8CCE4"/>
            <w:vAlign w:val="center"/>
          </w:tcPr>
          <w:p w14:paraId="614E06D9" w14:textId="77777777" w:rsidR="00F24790" w:rsidRPr="00E23D76" w:rsidRDefault="00F24790" w:rsidP="009556D9">
            <w:pPr>
              <w:tabs>
                <w:tab w:val="left" w:pos="240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  <w:t>Spełnia</w:t>
            </w:r>
          </w:p>
          <w:p w14:paraId="09699BF6" w14:textId="77777777" w:rsidR="00F24790" w:rsidRPr="00E23D76" w:rsidRDefault="00F24790" w:rsidP="009556D9">
            <w:pPr>
              <w:tabs>
                <w:tab w:val="left" w:pos="240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eastAsia="Times New Roman" w:cstheme="minorHAnsi"/>
                <w:b/>
                <w:kern w:val="0"/>
                <w:sz w:val="20"/>
                <w:szCs w:val="20"/>
                <w:lang w:eastAsia="pl-PL"/>
                <w14:ligatures w14:val="none"/>
              </w:rPr>
              <w:t>wymaganie</w:t>
            </w:r>
          </w:p>
          <w:p w14:paraId="3390D9C6" w14:textId="77777777" w:rsidR="00F24790" w:rsidRPr="00F24790" w:rsidRDefault="00F24790" w:rsidP="009556D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</w:tc>
      </w:tr>
      <w:tr w:rsidR="00F24790" w:rsidRPr="00F24790" w14:paraId="0DF07B5B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1DB74454" w14:textId="32C3EDEA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1108" w:type="pct"/>
            <w:vAlign w:val="center"/>
          </w:tcPr>
          <w:p w14:paraId="1AC4FA66" w14:textId="7D9FEBEA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Obudowa</w:t>
            </w:r>
          </w:p>
        </w:tc>
        <w:tc>
          <w:tcPr>
            <w:tcW w:w="2970" w:type="pct"/>
            <w:vAlign w:val="center"/>
          </w:tcPr>
          <w:p w14:paraId="47296649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Maksymalnie 1U RACK 19 cali wraz z szynami montażowymi i prowadnicą kabli, umożliwiającymi serwisowanie serwera (wysuwanie) w szafie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bez wyłączania urządzenia.</w:t>
            </w:r>
          </w:p>
          <w:p w14:paraId="1A45E10E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doposażenia serwera o standardowe elementy będące w ofercie producenta serwera: jak np. zdejmowany panel przedni z zamkiem, chroniącym przed nieuprawionym dostępem do dysków.</w:t>
            </w:r>
          </w:p>
          <w:p w14:paraId="1352A48E" w14:textId="05D78419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Płyta główna 2-procesorowa.</w:t>
            </w:r>
          </w:p>
        </w:tc>
        <w:tc>
          <w:tcPr>
            <w:tcW w:w="692" w:type="pct"/>
            <w:vAlign w:val="center"/>
          </w:tcPr>
          <w:p w14:paraId="647F97D4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66FA615A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5DB915A4" w14:textId="6DF9E3AC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1108" w:type="pct"/>
            <w:vAlign w:val="center"/>
          </w:tcPr>
          <w:p w14:paraId="20802EA3" w14:textId="7B2A7E71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Procesor</w:t>
            </w:r>
          </w:p>
        </w:tc>
        <w:tc>
          <w:tcPr>
            <w:tcW w:w="2970" w:type="pct"/>
            <w:vAlign w:val="center"/>
          </w:tcPr>
          <w:p w14:paraId="214E93A6" w14:textId="1A3DC629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jeden procesor 16-rdzeniowy, x86 – 64 bitowe, pracujące z częstotliwością bazową min. 3.65GHz.</w:t>
            </w:r>
          </w:p>
        </w:tc>
        <w:tc>
          <w:tcPr>
            <w:tcW w:w="692" w:type="pct"/>
            <w:vAlign w:val="center"/>
          </w:tcPr>
          <w:p w14:paraId="5E831CF2" w14:textId="77777777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F24790" w:rsidRPr="00F24790" w14:paraId="39412C15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2E75BA0D" w14:textId="6B68A652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3.</w:t>
            </w:r>
          </w:p>
        </w:tc>
        <w:tc>
          <w:tcPr>
            <w:tcW w:w="1108" w:type="pct"/>
            <w:vAlign w:val="center"/>
          </w:tcPr>
          <w:p w14:paraId="756F3DF7" w14:textId="2841C0CB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operacyjna</w:t>
            </w:r>
          </w:p>
        </w:tc>
        <w:tc>
          <w:tcPr>
            <w:tcW w:w="2970" w:type="pct"/>
            <w:vAlign w:val="center"/>
          </w:tcPr>
          <w:p w14:paraId="48247941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Min. 128GB RDIMM DDR5 w modułach pamięci o pojemności min. 32 GB RDIMM 4800MT/s każdy.</w:t>
            </w:r>
          </w:p>
          <w:p w14:paraId="3A4C827D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Płyta główna z minimum 12 slotami na pamięć i umożliwiająca rozbudowę do 3TB.</w:t>
            </w:r>
          </w:p>
          <w:p w14:paraId="2436C104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Zainstalowana pamięć musi zapewnić pracę podsystemu CPU – RAM na najwyższym z możliwych do osiągnięcia poziomów, co oznacza obecność jednego modułu pamięci na każdym dostępnym kanale pamięci dla obu procesorach.</w:t>
            </w:r>
          </w:p>
          <w:p w14:paraId="47A9243E" w14:textId="6397747E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zabezpieczeń co najmniej na poziomie Advanced ECC</w:t>
            </w:r>
          </w:p>
        </w:tc>
        <w:tc>
          <w:tcPr>
            <w:tcW w:w="692" w:type="pct"/>
            <w:vAlign w:val="center"/>
          </w:tcPr>
          <w:p w14:paraId="3EE02D93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4FB34BE5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1444E6A4" w14:textId="250227AE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4.</w:t>
            </w:r>
          </w:p>
        </w:tc>
        <w:tc>
          <w:tcPr>
            <w:tcW w:w="1108" w:type="pct"/>
            <w:vAlign w:val="center"/>
          </w:tcPr>
          <w:p w14:paraId="3250E038" w14:textId="7D8DFC71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Złącza rozszerzeń</w:t>
            </w:r>
          </w:p>
        </w:tc>
        <w:tc>
          <w:tcPr>
            <w:tcW w:w="2970" w:type="pct"/>
            <w:vAlign w:val="center"/>
          </w:tcPr>
          <w:p w14:paraId="26290316" w14:textId="2206F8FC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Minimum 3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sloty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PCIe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x16, w tym 2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sloty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Generacji 5 oraz 1 min. slot OCP.</w:t>
            </w:r>
          </w:p>
        </w:tc>
        <w:tc>
          <w:tcPr>
            <w:tcW w:w="692" w:type="pct"/>
            <w:vAlign w:val="center"/>
          </w:tcPr>
          <w:p w14:paraId="0E683B30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084E85A7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2C737785" w14:textId="7D4FA2BA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5.</w:t>
            </w:r>
          </w:p>
        </w:tc>
        <w:tc>
          <w:tcPr>
            <w:tcW w:w="1108" w:type="pct"/>
            <w:vAlign w:val="center"/>
          </w:tcPr>
          <w:p w14:paraId="64BCEF4C" w14:textId="4B1A6CF1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Dyski SSD</w:t>
            </w:r>
          </w:p>
        </w:tc>
        <w:tc>
          <w:tcPr>
            <w:tcW w:w="2970" w:type="pct"/>
            <w:vAlign w:val="center"/>
          </w:tcPr>
          <w:p w14:paraId="13B4ED6D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Zatoki dyskowe pozwalające na instalację min.8 dysków SFF SSD typu Hot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SAS/SATA/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2,5”.</w:t>
            </w:r>
          </w:p>
          <w:p w14:paraId="3F35297A" w14:textId="1F052AEB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Zainstalowany moduł dedykowany do startu serwera wyposażony w sprzętowy kontroler RAID 1 oraz 2 dyski 480GB M.2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SSD Hot-Plug (Hot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), które są skonfigurowane w RAID1 i dostępne z tyłu i/lub przodu serwera bez konieczności otwierania serwera.</w:t>
            </w:r>
          </w:p>
        </w:tc>
        <w:tc>
          <w:tcPr>
            <w:tcW w:w="692" w:type="pct"/>
            <w:vAlign w:val="center"/>
          </w:tcPr>
          <w:p w14:paraId="7584F240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02F27787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476A09A5" w14:textId="17B081EC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6.</w:t>
            </w:r>
          </w:p>
        </w:tc>
        <w:tc>
          <w:tcPr>
            <w:tcW w:w="1108" w:type="pct"/>
            <w:vAlign w:val="center"/>
          </w:tcPr>
          <w:p w14:paraId="4A00DEB3" w14:textId="29D4EC52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Kontroler</w:t>
            </w:r>
          </w:p>
        </w:tc>
        <w:tc>
          <w:tcPr>
            <w:tcW w:w="2970" w:type="pct"/>
            <w:vAlign w:val="center"/>
          </w:tcPr>
          <w:p w14:paraId="1E6C581D" w14:textId="76AEB1F1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Calibri" w:cstheme="minorHAnsi"/>
                <w:sz w:val="20"/>
                <w:szCs w:val="20"/>
              </w:rPr>
              <w:t>Możliwość zastosowania kontrolera sprzętowego min. 16 portowego (16 dedykowanych linii SAS do podłączenia dysków SAS), obsługujący poziomy RAID co najmniej 0/1/10/.</w:t>
            </w:r>
          </w:p>
        </w:tc>
        <w:tc>
          <w:tcPr>
            <w:tcW w:w="692" w:type="pct"/>
            <w:vAlign w:val="center"/>
          </w:tcPr>
          <w:p w14:paraId="3D7D1745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04902F32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2AE03822" w14:textId="46A6D67F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7.</w:t>
            </w:r>
          </w:p>
        </w:tc>
        <w:tc>
          <w:tcPr>
            <w:tcW w:w="1108" w:type="pct"/>
            <w:vAlign w:val="center"/>
          </w:tcPr>
          <w:p w14:paraId="76D62BC5" w14:textId="687ACDB8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Interfejsy sieciowe LAN</w:t>
            </w:r>
          </w:p>
        </w:tc>
        <w:tc>
          <w:tcPr>
            <w:tcW w:w="2970" w:type="pct"/>
            <w:vAlign w:val="center"/>
          </w:tcPr>
          <w:p w14:paraId="56A807EF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Minimum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jedna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karta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LAN, Ethernet o min.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przepustowości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10Gb/s ze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złączami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w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standardzie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SFP28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zainstalowana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w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slocie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OCP 3.0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/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lub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PCle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.</w:t>
            </w:r>
          </w:p>
          <w:p w14:paraId="0EFE72DF" w14:textId="0745378A" w:rsidR="00F24790" w:rsidRPr="00E8266D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n-IE"/>
              </w:rPr>
            </w:pPr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Minimum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jedna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karta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LAN, Ethernet o min.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przepustowości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10Gb/s ze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złączami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w Standardzie SFP28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zainstalowana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w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slocie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PCIe. Kabel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typu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DAC min. 10Gb z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końcówkami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SFP+ o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dł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. 3m – 4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szt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.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lub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wkładka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SFP28 min. 10Gb/a SR.100m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wraz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z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patchcordem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 xml:space="preserve"> 3 m – 8 </w:t>
            </w:r>
            <w:proofErr w:type="spellStart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szt</w:t>
            </w:r>
            <w:proofErr w:type="spellEnd"/>
            <w:r w:rsidRPr="00F24790">
              <w:rPr>
                <w:rFonts w:eastAsia="Calibri" w:cstheme="minorHAnsi"/>
                <w:sz w:val="20"/>
                <w:szCs w:val="20"/>
                <w:lang w:val="en-IE"/>
              </w:rPr>
              <w:t>.</w:t>
            </w:r>
          </w:p>
        </w:tc>
        <w:tc>
          <w:tcPr>
            <w:tcW w:w="692" w:type="pct"/>
            <w:vAlign w:val="center"/>
          </w:tcPr>
          <w:p w14:paraId="52899E71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n-IE"/>
              </w:rPr>
            </w:pPr>
          </w:p>
        </w:tc>
      </w:tr>
      <w:tr w:rsidR="00F24790" w:rsidRPr="00F24790" w14:paraId="5DD7D9C8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2A6F31FC" w14:textId="7E576071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n-IE"/>
              </w:rPr>
            </w:pPr>
            <w:r>
              <w:rPr>
                <w:rFonts w:eastAsia="Calibri" w:cstheme="minorHAnsi"/>
                <w:sz w:val="20"/>
                <w:szCs w:val="20"/>
                <w:lang w:val="en-IE"/>
              </w:rPr>
              <w:t>8.</w:t>
            </w:r>
          </w:p>
        </w:tc>
        <w:tc>
          <w:tcPr>
            <w:tcW w:w="1108" w:type="pct"/>
            <w:vAlign w:val="center"/>
          </w:tcPr>
          <w:p w14:paraId="06DD5975" w14:textId="4A32F412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graficzna</w:t>
            </w:r>
          </w:p>
        </w:tc>
        <w:tc>
          <w:tcPr>
            <w:tcW w:w="2970" w:type="pct"/>
          </w:tcPr>
          <w:p w14:paraId="74BD86DD" w14:textId="1205ECFE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Zintegrowana karta graficzna.</w:t>
            </w:r>
          </w:p>
        </w:tc>
        <w:tc>
          <w:tcPr>
            <w:tcW w:w="692" w:type="pct"/>
            <w:vAlign w:val="center"/>
          </w:tcPr>
          <w:p w14:paraId="25EBB051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7CA7A1FF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3CCABD00" w14:textId="3769EAB6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9.</w:t>
            </w:r>
          </w:p>
        </w:tc>
        <w:tc>
          <w:tcPr>
            <w:tcW w:w="1108" w:type="pct"/>
            <w:vAlign w:val="center"/>
          </w:tcPr>
          <w:p w14:paraId="48C17FB1" w14:textId="1FCA236B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</w:t>
            </w:r>
          </w:p>
        </w:tc>
        <w:tc>
          <w:tcPr>
            <w:tcW w:w="2970" w:type="pct"/>
            <w:vAlign w:val="center"/>
          </w:tcPr>
          <w:p w14:paraId="1D52F8C2" w14:textId="3A2062ED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Min. 4 porty USB, w tym jeden port wewnętrzny, 1x VGA.</w:t>
            </w:r>
          </w:p>
        </w:tc>
        <w:tc>
          <w:tcPr>
            <w:tcW w:w="692" w:type="pct"/>
            <w:vAlign w:val="center"/>
          </w:tcPr>
          <w:p w14:paraId="131DE35A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14A018E1" w14:textId="77777777" w:rsidTr="00E82963">
        <w:trPr>
          <w:cantSplit/>
          <w:trHeight w:val="188"/>
          <w:jc w:val="center"/>
        </w:trPr>
        <w:tc>
          <w:tcPr>
            <w:tcW w:w="230" w:type="pct"/>
            <w:vAlign w:val="center"/>
          </w:tcPr>
          <w:p w14:paraId="45FEBD94" w14:textId="2E97E8E2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10.</w:t>
            </w:r>
          </w:p>
        </w:tc>
        <w:tc>
          <w:tcPr>
            <w:tcW w:w="1108" w:type="pct"/>
            <w:vAlign w:val="center"/>
          </w:tcPr>
          <w:p w14:paraId="58BBC00A" w14:textId="28BD8149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Chłodzenie i zasilanie</w:t>
            </w:r>
          </w:p>
        </w:tc>
        <w:tc>
          <w:tcPr>
            <w:tcW w:w="2970" w:type="pct"/>
            <w:vAlign w:val="center"/>
          </w:tcPr>
          <w:p w14:paraId="650B1F98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wydajnych i redundantnych wentylatorów typu hot-plug.</w:t>
            </w:r>
          </w:p>
          <w:p w14:paraId="18C22832" w14:textId="76C80194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I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Redundantne zasilacze typu hot-plug o mocy min. 1000W każdy.</w:t>
            </w:r>
          </w:p>
        </w:tc>
        <w:tc>
          <w:tcPr>
            <w:tcW w:w="692" w:type="pct"/>
            <w:vAlign w:val="center"/>
          </w:tcPr>
          <w:p w14:paraId="6B8CD3A4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4E9D19D5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5CE726F6" w14:textId="36A62032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11.</w:t>
            </w:r>
          </w:p>
        </w:tc>
        <w:tc>
          <w:tcPr>
            <w:tcW w:w="1108" w:type="pct"/>
            <w:vAlign w:val="center"/>
          </w:tcPr>
          <w:p w14:paraId="2ACE8030" w14:textId="091596F4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Diagnostyka i bezpieczeństwo</w:t>
            </w:r>
          </w:p>
        </w:tc>
        <w:tc>
          <w:tcPr>
            <w:tcW w:w="2970" w:type="pct"/>
            <w:vAlign w:val="center"/>
          </w:tcPr>
          <w:p w14:paraId="278F0452" w14:textId="56B5A892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Serwer wyposażony w moduł TPM w wersji minimum 2.0 lub nowszy</w:t>
            </w:r>
          </w:p>
        </w:tc>
        <w:tc>
          <w:tcPr>
            <w:tcW w:w="692" w:type="pct"/>
            <w:vAlign w:val="center"/>
          </w:tcPr>
          <w:p w14:paraId="34A59049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05949FE5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7BF4EDFF" w14:textId="602BB829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108" w:type="pct"/>
            <w:vAlign w:val="center"/>
          </w:tcPr>
          <w:p w14:paraId="7E5B45DF" w14:textId="1C4CC26B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Karta/moduł zarządzający</w:t>
            </w:r>
          </w:p>
        </w:tc>
        <w:tc>
          <w:tcPr>
            <w:tcW w:w="2970" w:type="pct"/>
          </w:tcPr>
          <w:p w14:paraId="23A8335A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Niezależny od systemu operacyjnego, posiadająca funkcjonalność:</w:t>
            </w:r>
          </w:p>
          <w:p w14:paraId="06C6D333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monitorowania stanu podzespołów serwera: temperatury, zasilaczy, wentylatorów, procesorów, pamięci RAM, kontrolerów macierzowych i dysków (fizycznych i logicznych);</w:t>
            </w:r>
          </w:p>
          <w:p w14:paraId="14A10B4B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wsparcia dla pracy w trybie bez-agentowym – bez konieczności instalacji agentów zarządzania w systemie operacyjnym bazując na przekazywaniu alertów SNMP;</w:t>
            </w:r>
          </w:p>
          <w:p w14:paraId="013B05D4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dostępu do karty zarządzającej poprzez dedykowany port RJ45 z tyłu serwera;</w:t>
            </w:r>
          </w:p>
          <w:p w14:paraId="505B57BA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Dostęp do karty możliwy:</w:t>
            </w:r>
          </w:p>
          <w:p w14:paraId="5B415FE0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z poziomu przeglądarki webowej (GUI),</w:t>
            </w:r>
          </w:p>
          <w:p w14:paraId="7607E97E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val="en-IE" w:eastAsia="pl-PL"/>
              </w:rPr>
            </w:pP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val="en-IE" w:eastAsia="pl-PL"/>
              </w:rPr>
              <w:t>poprzez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val="en-IE" w:eastAsia="pl-PL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val="en-IE" w:eastAsia="pl-PL"/>
              </w:rPr>
              <w:t>interfejs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val="en-IE" w:eastAsia="pl-PL"/>
              </w:rPr>
              <w:t xml:space="preserve"> IPMI 2.0 (Intelligent Platform Management Interface);</w:t>
            </w:r>
          </w:p>
          <w:p w14:paraId="28956DCD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Wbudowane</w:t>
            </w: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narzędzia diagnostyczne;</w:t>
            </w:r>
          </w:p>
          <w:p w14:paraId="07A22206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wbudowany mechanizm zapisywania zdarzeń serwera i karty zarządzającej w tym włączanie/wyłączanie serwera, restart, zmiany w konfiguracji, logowanie użytkowników;</w:t>
            </w:r>
          </w:p>
          <w:p w14:paraId="71FFFDC5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przesyłanie alertów poprzez e-mail;</w:t>
            </w:r>
          </w:p>
          <w:p w14:paraId="04B75440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obsługa zdalnego serwera logu systemowego (</w:t>
            </w: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remote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syslog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);</w:t>
            </w:r>
          </w:p>
          <w:p w14:paraId="0827BB19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wirtualna, zdalna konsola, tekstowa i graficzna, z dostępem do myszy i klawiatury oraz możliwością podłączenia napędów CD/DVD;</w:t>
            </w:r>
          </w:p>
          <w:p w14:paraId="7741691F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funkcja monitorowania i prezentowania poziomu zużycia dysków SSD;</w:t>
            </w:r>
          </w:p>
          <w:p w14:paraId="236ACF90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mechanizm przechwytywania, nagrywania i odtwarzania sekwencji video dla ostatniej awarii;</w:t>
            </w:r>
          </w:p>
          <w:p w14:paraId="53A9802F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funkcja zdalnej konsoli szeregowej SSH przez wirtualny port szeregowy;</w:t>
            </w:r>
          </w:p>
          <w:p w14:paraId="28A75FBF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monitorowanie poboru mocy przez serwer wraz z prezentacją danych historycznych poboru mocy za okres co najmniej ostatnich 6 dni;</w:t>
            </w:r>
          </w:p>
          <w:p w14:paraId="3810DF9B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konfiguracja maksymalnego poziomu pobieranej mocy przez serwer (ang. </w:t>
            </w: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capping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);</w:t>
            </w:r>
          </w:p>
          <w:p w14:paraId="7A5F0024" w14:textId="77777777" w:rsidR="00F24790" w:rsidRPr="00F24790" w:rsidRDefault="00F24790" w:rsidP="00E82963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0" w:hanging="142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zdalna aktualizacja oprogramowania (ang. </w:t>
            </w:r>
            <w:proofErr w:type="spellStart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firmware</w:t>
            </w:r>
            <w:proofErr w:type="spellEnd"/>
            <w:r w:rsidRPr="00F24790">
              <w:rPr>
                <w:rFonts w:eastAsia="Times New Roman" w:cstheme="minorHAnsi"/>
                <w:sz w:val="20"/>
                <w:szCs w:val="20"/>
                <w:lang w:eastAsia="pl-PL"/>
              </w:rPr>
              <w:t>);</w:t>
            </w:r>
          </w:p>
          <w:p w14:paraId="2995662E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równoczesnej obsługi przez min. 2 administratorów;</w:t>
            </w:r>
          </w:p>
          <w:p w14:paraId="637DCB59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Uwierzytelnianie dwuskładnikowa (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Kerberos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);</w:t>
            </w:r>
          </w:p>
          <w:p w14:paraId="6BEF10F6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Microsoft Active Directory;</w:t>
            </w:r>
          </w:p>
          <w:p w14:paraId="4D6AA254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TLS i SSH;</w:t>
            </w:r>
          </w:p>
          <w:p w14:paraId="0EE25F30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trwałego zablokowania dokonania obniżenia wersji oprogramowania układowego (ang.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firmware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serwera;</w:t>
            </w:r>
          </w:p>
          <w:p w14:paraId="1D6A72C8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Wsparcie dla IPv4 oraz iPv6, obsługa SNMP v3 oraz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RESTful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API;</w:t>
            </w:r>
          </w:p>
          <w:p w14:paraId="351BBF2D" w14:textId="17C21AEE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automatycznej konfiguracji sieci karty zarządzającej (DNS/DHCP).</w:t>
            </w:r>
          </w:p>
        </w:tc>
        <w:tc>
          <w:tcPr>
            <w:tcW w:w="692" w:type="pct"/>
            <w:vAlign w:val="center"/>
          </w:tcPr>
          <w:p w14:paraId="0481E0AB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51707990" w14:textId="77777777" w:rsidTr="00A97A2F">
        <w:trPr>
          <w:cantSplit/>
          <w:trHeight w:val="854"/>
          <w:jc w:val="center"/>
        </w:trPr>
        <w:tc>
          <w:tcPr>
            <w:tcW w:w="230" w:type="pct"/>
            <w:vAlign w:val="center"/>
          </w:tcPr>
          <w:p w14:paraId="31C6C845" w14:textId="081260F4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13.</w:t>
            </w:r>
          </w:p>
        </w:tc>
        <w:tc>
          <w:tcPr>
            <w:tcW w:w="1108" w:type="pct"/>
            <w:vAlign w:val="center"/>
          </w:tcPr>
          <w:p w14:paraId="31FDBBC2" w14:textId="2A738175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Wsparcie dla systemów operacyjnych i systemów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wirtualizacyjnych</w:t>
            </w:r>
            <w:proofErr w:type="spellEnd"/>
          </w:p>
        </w:tc>
        <w:tc>
          <w:tcPr>
            <w:tcW w:w="2970" w:type="pct"/>
            <w:vAlign w:val="center"/>
          </w:tcPr>
          <w:p w14:paraId="6A14D126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Microsoft Windows Server 2019, 2022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2025;</w:t>
            </w:r>
          </w:p>
          <w:p w14:paraId="3BA8848F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Red Hat Enterprise Linux (RHEL) 8.x, 9.0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lub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nowszy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;</w:t>
            </w:r>
          </w:p>
          <w:p w14:paraId="4AF22F0D" w14:textId="77777777" w:rsidR="00F24790" w:rsidRPr="00F24790" w:rsidRDefault="00F24790" w:rsidP="009556D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SUSE Linux Enterprise Server (SLES) 15SP4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lub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nowszy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;</w:t>
            </w:r>
          </w:p>
          <w:p w14:paraId="4B603B90" w14:textId="4803DC0A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VMware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ESXi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7.0U3, 8.x lub nowsze.</w:t>
            </w:r>
          </w:p>
        </w:tc>
        <w:tc>
          <w:tcPr>
            <w:tcW w:w="692" w:type="pct"/>
            <w:vAlign w:val="center"/>
          </w:tcPr>
          <w:p w14:paraId="45D9D941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24790" w:rsidRPr="00F24790" w14:paraId="57581477" w14:textId="77777777" w:rsidTr="00E82963">
        <w:trPr>
          <w:cantSplit/>
          <w:jc w:val="center"/>
        </w:trPr>
        <w:tc>
          <w:tcPr>
            <w:tcW w:w="230" w:type="pct"/>
            <w:vAlign w:val="center"/>
          </w:tcPr>
          <w:p w14:paraId="62F4792E" w14:textId="2C63C1A5" w:rsidR="00F24790" w:rsidRPr="00F24790" w:rsidRDefault="009556D9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14.</w:t>
            </w:r>
          </w:p>
        </w:tc>
        <w:tc>
          <w:tcPr>
            <w:tcW w:w="1108" w:type="pct"/>
            <w:vAlign w:val="center"/>
          </w:tcPr>
          <w:p w14:paraId="57D9BAD1" w14:textId="2C3A360E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operacyjny</w:t>
            </w:r>
          </w:p>
        </w:tc>
        <w:tc>
          <w:tcPr>
            <w:tcW w:w="2970" w:type="pct"/>
            <w:vAlign w:val="center"/>
          </w:tcPr>
          <w:p w14:paraId="7AD54905" w14:textId="657494D7" w:rsidR="00F24790" w:rsidRPr="00F24790" w:rsidRDefault="00F24790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color w:val="000000"/>
                <w:kern w:val="0"/>
                <w:sz w:val="20"/>
                <w:szCs w:val="20"/>
                <w14:ligatures w14:val="none"/>
              </w:rPr>
            </w:pPr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Windows Server 2025 Datacenter 16 </w:t>
            </w:r>
            <w:proofErr w:type="spellStart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core</w:t>
            </w:r>
            <w:proofErr w:type="spellEnd"/>
            <w:r w:rsidRPr="00F24790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wraz z wymaganą ilością licencji Windows Server 2025 CAL</w:t>
            </w:r>
          </w:p>
        </w:tc>
        <w:tc>
          <w:tcPr>
            <w:tcW w:w="692" w:type="pct"/>
            <w:vAlign w:val="center"/>
          </w:tcPr>
          <w:p w14:paraId="635F3A9A" w14:textId="77777777" w:rsidR="00F24790" w:rsidRPr="00F24790" w:rsidRDefault="00F24790" w:rsidP="009556D9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35D4D1F8" w14:textId="77777777" w:rsidR="00F24790" w:rsidRPr="00E8266D" w:rsidRDefault="00F24790" w:rsidP="00F24790">
      <w:pPr>
        <w:spacing w:after="0" w:line="276" w:lineRule="auto"/>
        <w:rPr>
          <w:rFonts w:ascii="Calibri" w:eastAsia="Calibri" w:hAnsi="Calibri" w:cs="Calibri"/>
          <w:i/>
          <w:iCs/>
          <w:kern w:val="0"/>
          <w:sz w:val="24"/>
          <w:szCs w:val="24"/>
          <w:lang w:val="en-IE"/>
          <w14:ligatures w14:val="none"/>
        </w:rPr>
      </w:pPr>
    </w:p>
    <w:p w14:paraId="0F1A00C5" w14:textId="77777777" w:rsidR="00F24790" w:rsidRDefault="00F24790" w:rsidP="00E23D76">
      <w:pPr>
        <w:spacing w:after="0" w:line="276" w:lineRule="auto"/>
        <w:rPr>
          <w:rFonts w:ascii="Calibri" w:eastAsia="Calibri" w:hAnsi="Calibri" w:cs="Calibri"/>
          <w:i/>
          <w:iCs/>
          <w:kern w:val="0"/>
          <w:sz w:val="24"/>
          <w:szCs w:val="24"/>
          <w:lang w:val="en-IE"/>
          <w14:ligatures w14:val="none"/>
        </w:rPr>
        <w:sectPr w:rsidR="00F2479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E7C0F05" w14:textId="66CFBD5F" w:rsidR="00F24790" w:rsidRPr="00E23D76" w:rsidRDefault="00F24790" w:rsidP="00F24790">
      <w:pPr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3. Macierz</w:t>
      </w:r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proofErr w:type="spellStart"/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Rack</w:t>
      </w:r>
      <w:proofErr w:type="spellEnd"/>
      <w:r w:rsidRPr="00F24790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t>(4 szt.)</w:t>
      </w:r>
    </w:p>
    <w:p w14:paraId="78592A06" w14:textId="77777777" w:rsidR="00F24790" w:rsidRPr="00E8266D" w:rsidRDefault="00F24790" w:rsidP="00F24790">
      <w:pPr>
        <w:pStyle w:val="Akapitzlist"/>
        <w:numPr>
          <w:ilvl w:val="0"/>
          <w:numId w:val="12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Producent : …………………………………………………………………………...……………;</w:t>
      </w:r>
    </w:p>
    <w:p w14:paraId="0FAE2816" w14:textId="77777777" w:rsidR="00F24790" w:rsidRPr="00E8266D" w:rsidRDefault="00F24790" w:rsidP="00F24790">
      <w:pPr>
        <w:pStyle w:val="Akapitzlist"/>
        <w:numPr>
          <w:ilvl w:val="0"/>
          <w:numId w:val="12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Model i symbol urządzenia: ……….………………………………………………………………………..;</w:t>
      </w:r>
    </w:p>
    <w:p w14:paraId="274489DE" w14:textId="77777777" w:rsidR="00F24790" w:rsidRPr="00E8266D" w:rsidRDefault="00F24790" w:rsidP="00F24790">
      <w:pPr>
        <w:pStyle w:val="Akapitzlist"/>
        <w:numPr>
          <w:ilvl w:val="0"/>
          <w:numId w:val="12"/>
        </w:numPr>
        <w:spacing w:after="0" w:line="360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E8266D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Pozostałe niezbędne elementy identyfikacyjne (jeśli występują i są niezbędne):………..….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1984"/>
        <w:gridCol w:w="5245"/>
        <w:gridCol w:w="1265"/>
      </w:tblGrid>
      <w:tr w:rsidR="009556D9" w:rsidRPr="009556D9" w14:paraId="0E52FB4B" w14:textId="77777777" w:rsidTr="00E82963">
        <w:trPr>
          <w:cantSplit/>
          <w:jc w:val="center"/>
        </w:trPr>
        <w:tc>
          <w:tcPr>
            <w:tcW w:w="308" w:type="pct"/>
            <w:shd w:val="clear" w:color="auto" w:fill="B8CCE4"/>
            <w:vAlign w:val="center"/>
          </w:tcPr>
          <w:p w14:paraId="0B69D421" w14:textId="77777777" w:rsidR="00F24790" w:rsidRPr="009556D9" w:rsidRDefault="00F24790" w:rsidP="009556D9">
            <w:pPr>
              <w:spacing w:after="0" w:line="240" w:lineRule="auto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096" w:type="pct"/>
            <w:shd w:val="clear" w:color="auto" w:fill="B8CCE4"/>
            <w:vAlign w:val="center"/>
          </w:tcPr>
          <w:p w14:paraId="75FBBE97" w14:textId="30A88477" w:rsidR="00F24790" w:rsidRPr="00E8266D" w:rsidRDefault="009556D9" w:rsidP="009556D9">
            <w:pPr>
              <w:spacing w:after="0" w:line="240" w:lineRule="auto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cstheme="minorHAnsi"/>
                <w:bCs/>
                <w:sz w:val="20"/>
                <w:szCs w:val="20"/>
              </w:rPr>
              <w:t>Opis</w:t>
            </w:r>
          </w:p>
        </w:tc>
        <w:tc>
          <w:tcPr>
            <w:tcW w:w="2897" w:type="pct"/>
            <w:shd w:val="clear" w:color="auto" w:fill="B8CCE4"/>
            <w:vAlign w:val="center"/>
          </w:tcPr>
          <w:p w14:paraId="55CBA76E" w14:textId="77777777" w:rsidR="00F24790" w:rsidRPr="00E8266D" w:rsidRDefault="00F24790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Wymagan</w:t>
            </w:r>
            <w:r w:rsidRPr="009556D9">
              <w:rPr>
                <w:rFonts w:cstheme="minorHAnsi"/>
                <w:bCs/>
                <w:sz w:val="20"/>
                <w:szCs w:val="20"/>
              </w:rPr>
              <w:t>e</w:t>
            </w:r>
            <w:r w:rsidRPr="00E23D76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minimalne</w:t>
            </w:r>
            <w:r w:rsidRPr="009556D9">
              <w:rPr>
                <w:rFonts w:cstheme="minorHAnsi"/>
                <w:bCs/>
                <w:sz w:val="20"/>
                <w:szCs w:val="20"/>
              </w:rPr>
              <w:t xml:space="preserve"> parametry techniczne</w:t>
            </w:r>
          </w:p>
        </w:tc>
        <w:tc>
          <w:tcPr>
            <w:tcW w:w="699" w:type="pct"/>
            <w:shd w:val="clear" w:color="auto" w:fill="B8CCE4"/>
            <w:vAlign w:val="center"/>
          </w:tcPr>
          <w:p w14:paraId="00E31B7B" w14:textId="77777777" w:rsidR="00F24790" w:rsidRPr="00E23D76" w:rsidRDefault="00F24790" w:rsidP="009556D9">
            <w:pPr>
              <w:tabs>
                <w:tab w:val="left" w:pos="2401"/>
              </w:tabs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Spełnia</w:t>
            </w:r>
          </w:p>
          <w:p w14:paraId="23A1DC1B" w14:textId="77777777" w:rsidR="00F24790" w:rsidRPr="00E23D76" w:rsidRDefault="00F24790" w:rsidP="009556D9">
            <w:pPr>
              <w:tabs>
                <w:tab w:val="left" w:pos="2401"/>
              </w:tabs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3D76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wymaganie</w:t>
            </w:r>
          </w:p>
          <w:p w14:paraId="1385C7E9" w14:textId="77777777" w:rsidR="00F24790" w:rsidRPr="009556D9" w:rsidRDefault="00F24790" w:rsidP="009556D9">
            <w:pPr>
              <w:spacing w:after="0" w:line="240" w:lineRule="auto"/>
              <w:jc w:val="center"/>
              <w:rPr>
                <w:rFonts w:eastAsia="Calibri" w:cstheme="minorHAnsi"/>
                <w:bCs/>
                <w:sz w:val="20"/>
                <w:szCs w:val="20"/>
              </w:rPr>
            </w:pPr>
            <w:r w:rsidRPr="00E23D76">
              <w:rPr>
                <w:rFonts w:eastAsia="Times New Roman" w:cstheme="minorHAnsi"/>
                <w:bCs/>
                <w:i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</w:tc>
      </w:tr>
      <w:tr w:rsidR="009556D9" w:rsidRPr="009556D9" w14:paraId="3F2D53E7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207F2C93" w14:textId="24085893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096" w:type="pct"/>
            <w:vAlign w:val="center"/>
          </w:tcPr>
          <w:p w14:paraId="49DDC7B3" w14:textId="2A7EE709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Typ obudowy</w:t>
            </w:r>
          </w:p>
        </w:tc>
        <w:tc>
          <w:tcPr>
            <w:tcW w:w="2897" w:type="pct"/>
          </w:tcPr>
          <w:p w14:paraId="6A425B73" w14:textId="2C38EB0F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jest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przystosowana do montażu w szafie typu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rack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19”.</w:t>
            </w:r>
          </w:p>
        </w:tc>
        <w:tc>
          <w:tcPr>
            <w:tcW w:w="699" w:type="pct"/>
            <w:vAlign w:val="center"/>
          </w:tcPr>
          <w:p w14:paraId="0EBB36AD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7678E0E5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48F8A294" w14:textId="3D2ECDE8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096" w:type="pct"/>
            <w:vAlign w:val="center"/>
          </w:tcPr>
          <w:p w14:paraId="0581E38F" w14:textId="61721CC2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Przestrzeń dyskowa</w:t>
            </w:r>
          </w:p>
        </w:tc>
        <w:tc>
          <w:tcPr>
            <w:tcW w:w="2897" w:type="pct"/>
            <w:vAlign w:val="center"/>
          </w:tcPr>
          <w:p w14:paraId="605EBB1F" w14:textId="63561C3E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jest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wyposażona w minimum 8 dysków SSD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. Nie dopuszcza się stosowania protokołu innego niż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do obsługi dysków w macierzy. Nie dopuszcza się stosowania nośników dyskowych wykonanych w technologii QLC. Wymagane są dyski MLC lub TLC.</w:t>
            </w:r>
          </w:p>
          <w:p w14:paraId="2D3D864E" w14:textId="52E6A0FF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udostępnia co najmniej 8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TiB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pojemności użytecznej bez uwzględniania mechanizmów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deduplikacji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i kompresji.</w:t>
            </w:r>
          </w:p>
          <w:p w14:paraId="6303859E" w14:textId="3485AA21" w:rsidR="009556D9" w:rsidRPr="00E8266D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</w:t>
            </w:r>
            <w:r w:rsidR="00A97A2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możliwość obsługi co najmniej 737 TB pojemności surowej (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raw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) na dyskach SSD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(bez konieczności dodawania dodatkowych kontrolerów). Nie dopuszcza się wirtualizacji zewnętrznych pamięci masowych.</w:t>
            </w:r>
          </w:p>
        </w:tc>
        <w:tc>
          <w:tcPr>
            <w:tcW w:w="699" w:type="pct"/>
            <w:vAlign w:val="center"/>
          </w:tcPr>
          <w:p w14:paraId="1929DFBC" w14:textId="77777777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9556D9" w:rsidRPr="009556D9" w14:paraId="5D8D125C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1658BAD6" w14:textId="15F85CCD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096" w:type="pct"/>
            <w:vAlign w:val="center"/>
          </w:tcPr>
          <w:p w14:paraId="65047124" w14:textId="71C62C2B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Sposób zabezpieczenia danych</w:t>
            </w:r>
          </w:p>
        </w:tc>
        <w:tc>
          <w:tcPr>
            <w:tcW w:w="2897" w:type="pct"/>
            <w:vAlign w:val="center"/>
          </w:tcPr>
          <w:p w14:paraId="3818234A" w14:textId="575662E2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Calibri" w:cstheme="minorHAnsi"/>
                <w:bCs/>
                <w:sz w:val="20"/>
                <w:szCs w:val="20"/>
              </w:rPr>
              <w:t>Macierz posiada mechanizm RAID zabezpieczający przed utratą spójności danych w przypadku jednoczesnej awarii dwóch dowolnych dysków.</w:t>
            </w:r>
          </w:p>
          <w:p w14:paraId="110E9EBC" w14:textId="6388A4D0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Calibri" w:cstheme="minorHAnsi"/>
                <w:bCs/>
                <w:sz w:val="20"/>
                <w:szCs w:val="20"/>
              </w:rPr>
              <w:t>Rozłożenie dysków w macierzy zapewnia redundancję pozwalającą na nieprzerwaną pracę i dostęp do wszystkich danych w sytuacji awarii pojedynczego komponentu sprzętowego typu: dysk, port, kontroler, zasilacz, kabel.</w:t>
            </w:r>
          </w:p>
          <w:p w14:paraId="78EC4565" w14:textId="6956D201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Calibri" w:cstheme="minorHAnsi"/>
                <w:bCs/>
                <w:sz w:val="20"/>
                <w:szCs w:val="20"/>
              </w:rPr>
              <w:t>Macierz umożliwia definiowanie dysków „</w:t>
            </w:r>
            <w:proofErr w:type="spellStart"/>
            <w:r w:rsidRPr="009556D9">
              <w:rPr>
                <w:rFonts w:eastAsia="Calibri" w:cstheme="minorHAnsi"/>
                <w:bCs/>
                <w:sz w:val="20"/>
                <w:szCs w:val="20"/>
              </w:rPr>
              <w:t>spare</w:t>
            </w:r>
            <w:proofErr w:type="spellEnd"/>
            <w:r w:rsidRPr="009556D9">
              <w:rPr>
                <w:rFonts w:eastAsia="Calibri" w:cstheme="minorHAnsi"/>
                <w:bCs/>
                <w:sz w:val="20"/>
                <w:szCs w:val="20"/>
              </w:rPr>
              <w:t>” lub odpowiadającej im przestrzeni dyskowej „</w:t>
            </w:r>
            <w:proofErr w:type="spellStart"/>
            <w:r w:rsidRPr="009556D9">
              <w:rPr>
                <w:rFonts w:eastAsia="Calibri" w:cstheme="minorHAnsi"/>
                <w:bCs/>
                <w:sz w:val="20"/>
                <w:szCs w:val="20"/>
              </w:rPr>
              <w:t>spare</w:t>
            </w:r>
            <w:proofErr w:type="spellEnd"/>
            <w:r w:rsidRPr="009556D9">
              <w:rPr>
                <w:rFonts w:eastAsia="Calibri" w:cstheme="minorHAnsi"/>
                <w:bCs/>
                <w:sz w:val="20"/>
                <w:szCs w:val="20"/>
              </w:rPr>
              <w:t>”.</w:t>
            </w:r>
          </w:p>
          <w:p w14:paraId="105D00F7" w14:textId="1B2F2F40" w:rsidR="009556D9" w:rsidRPr="00E8266D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Calibri" w:cstheme="minorHAnsi"/>
                <w:bCs/>
                <w:sz w:val="20"/>
                <w:szCs w:val="20"/>
              </w:rPr>
              <w:t>Wymagane zabezpieczenie minimum RAID-6.</w:t>
            </w:r>
          </w:p>
        </w:tc>
        <w:tc>
          <w:tcPr>
            <w:tcW w:w="699" w:type="pct"/>
            <w:vAlign w:val="center"/>
          </w:tcPr>
          <w:p w14:paraId="5AFAAB5E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36E743E4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08062BC4" w14:textId="2BD6962D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1096" w:type="pct"/>
            <w:vAlign w:val="center"/>
          </w:tcPr>
          <w:p w14:paraId="6FC9B798" w14:textId="0B16D073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Kontrolery macierzowe</w:t>
            </w:r>
          </w:p>
        </w:tc>
        <w:tc>
          <w:tcPr>
            <w:tcW w:w="2897" w:type="pct"/>
            <w:vAlign w:val="center"/>
          </w:tcPr>
          <w:p w14:paraId="1626524B" w14:textId="5B495A24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All-NVMe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jest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wyposażona w minimum 2 kontrolery macierzowe obsługujące protokoły blokowe i pracujące w trybie ALUA (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Asymmetric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Logical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Unit Access). Oba kontrolery jednocześnie aktywnie obsług</w:t>
            </w:r>
            <w:r w:rsidR="00A97A2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ują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wolumeny. Oprogramowanie macierzy rozkłada obsługę wolumenów pomiędzy kontrolery i dążyć do ich równomiernego obciążenia.</w:t>
            </w:r>
          </w:p>
          <w:p w14:paraId="572FD459" w14:textId="5AC3B433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Każdy z kontrolerów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jest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wyposażony w wielordzeniowe procesory x86 (każdy w minimum 8 fizycznych rdzeni). Z uwagi na kompatybilność z systemami operacyjnymi oraz aplikacjami występującymi w środowisku Zamawiającego a listą rozkazów obsługiwanych przez procesory zainstalowane w oferowanym rozwiązaniu, Zamawiający zaakceptuje jedynie rozwiązania wyposażone w procesory firm Intel lub AMD. Zastosowany procesor musi wspierać standard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min. Gen3.</w:t>
            </w:r>
          </w:p>
          <w:p w14:paraId="60F230A6" w14:textId="0BE072E1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Każdy kontroler posiada co najmniej 192GB pamięci RAM o szybkości co najmniej 2666MT/s.</w:t>
            </w:r>
          </w:p>
          <w:p w14:paraId="289547AB" w14:textId="63FCEA8F" w:rsidR="009556D9" w:rsidRPr="00E8266D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Kontrolery obsług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ują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protokół FC i 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NVMeoF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-FC na portach FC.</w:t>
            </w:r>
          </w:p>
        </w:tc>
        <w:tc>
          <w:tcPr>
            <w:tcW w:w="699" w:type="pct"/>
            <w:vAlign w:val="center"/>
          </w:tcPr>
          <w:p w14:paraId="01EB31EF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76DC5344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61243FCB" w14:textId="18362C91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096" w:type="pct"/>
            <w:vAlign w:val="center"/>
          </w:tcPr>
          <w:p w14:paraId="46B047E8" w14:textId="05478780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Interfejsy </w:t>
            </w:r>
          </w:p>
        </w:tc>
        <w:tc>
          <w:tcPr>
            <w:tcW w:w="2897" w:type="pct"/>
            <w:vAlign w:val="center"/>
          </w:tcPr>
          <w:p w14:paraId="568AB224" w14:textId="46450CA8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Macierz wyposażona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jest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w co najmniej 2 karty 4-portowe Ethernet min. 10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Gb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(po 1 karcie na kontroler).</w:t>
            </w:r>
          </w:p>
          <w:p w14:paraId="21E0E878" w14:textId="7C7FEEE0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Kabel typu DAC min. 10Gb z końcówkami SFP+ o dł. 3m – 8 szt. lub wkładka SFP28 min. 10Gb/a SR.100m wraz z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patchcordem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3 m – 16 szt.</w:t>
            </w:r>
          </w:p>
          <w:p w14:paraId="28FE0EF2" w14:textId="0F68EDDA" w:rsidR="009556D9" w:rsidRPr="00E8266D" w:rsidRDefault="00D47BEC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="009556D9"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stni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eje</w:t>
            </w:r>
            <w:r w:rsidR="009556D9"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możliwość rozbudowy o 8 portów FC 32 </w:t>
            </w:r>
            <w:proofErr w:type="spellStart"/>
            <w:r w:rsidR="009556D9"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Gb</w:t>
            </w:r>
            <w:proofErr w:type="spellEnd"/>
            <w:r w:rsidR="009556D9"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/s lub dodatkowe 4 porty Ethernet 10/25Gb.</w:t>
            </w:r>
          </w:p>
        </w:tc>
        <w:tc>
          <w:tcPr>
            <w:tcW w:w="699" w:type="pct"/>
            <w:vAlign w:val="center"/>
          </w:tcPr>
          <w:p w14:paraId="35902B5D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58B88EE3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7D7358A7" w14:textId="2873D942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096" w:type="pct"/>
            <w:vAlign w:val="center"/>
          </w:tcPr>
          <w:p w14:paraId="4D1CEFBC" w14:textId="2425E410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Sposób zarządzania</w:t>
            </w:r>
          </w:p>
        </w:tc>
        <w:tc>
          <w:tcPr>
            <w:tcW w:w="2897" w:type="pct"/>
            <w:vAlign w:val="center"/>
          </w:tcPr>
          <w:p w14:paraId="6E191D8E" w14:textId="1C7F8FE4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Zarządzanie macierzą możliwe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jest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z poziomu interfejsu graficznego oraz linii poleceń.</w:t>
            </w:r>
          </w:p>
          <w:p w14:paraId="6A25DCE1" w14:textId="1C9454C4" w:rsidR="009556D9" w:rsidRPr="00E8266D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Oprogramowanie do zarządzania pozwalać na stałe monitorowanie stanu macierzy oraz umożliwiać konfigurowanie jej zasobów dyskowych. Narzędzie musi pozwalać na obserwację danych wydajnościowych oraz prezentację ich w postaci wykresów oraz czytelnych raportów. Wymagane jest monitorowanie bieżących parametrów pracy macierzy.</w:t>
            </w:r>
          </w:p>
        </w:tc>
        <w:tc>
          <w:tcPr>
            <w:tcW w:w="699" w:type="pct"/>
            <w:vAlign w:val="center"/>
          </w:tcPr>
          <w:p w14:paraId="49979EEC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1B5DBD54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3B4E7B6C" w14:textId="004BB445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1096" w:type="pct"/>
            <w:vAlign w:val="center"/>
          </w:tcPr>
          <w:p w14:paraId="4CE1B9B9" w14:textId="5CAAF3E1" w:rsidR="009556D9" w:rsidRPr="00E8266D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Zarządzanie grupami dyskowymi oraz dyskami logicznymi</w:t>
            </w:r>
          </w:p>
        </w:tc>
        <w:tc>
          <w:tcPr>
            <w:tcW w:w="2897" w:type="pct"/>
            <w:vAlign w:val="center"/>
          </w:tcPr>
          <w:p w14:paraId="072E3464" w14:textId="5ADC919C" w:rsidR="009556D9" w:rsidRPr="00E8266D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  <w:lang w:val="en-IE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zapewnia możliwość dynamicznego zwiększania pojemności wolumenów logicznych oraz wielkości grup dyskowych (przez dodanie dysków) z poziomu kontrolera macierzowego bez przerywania dostępu do danych. Musi istnieć możliwość rozłożenia pojedynczego wolumenu logicznego na wszystkie dyski fizyczne macierzy (tzw.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wide-striping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) bez konieczności łączenia wielu różnych dysków logicznych w jeden większy.</w:t>
            </w:r>
          </w:p>
        </w:tc>
        <w:tc>
          <w:tcPr>
            <w:tcW w:w="699" w:type="pct"/>
            <w:vAlign w:val="center"/>
          </w:tcPr>
          <w:p w14:paraId="129C906F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  <w:lang w:val="en-IE"/>
              </w:rPr>
            </w:pPr>
          </w:p>
        </w:tc>
      </w:tr>
      <w:tr w:rsidR="009556D9" w:rsidRPr="009556D9" w14:paraId="72DE5A2C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76351288" w14:textId="49F194ED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  <w:lang w:val="en-IE"/>
              </w:rPr>
            </w:pPr>
            <w:r>
              <w:rPr>
                <w:rFonts w:eastAsia="Calibri" w:cstheme="minorHAnsi"/>
                <w:bCs/>
                <w:sz w:val="20"/>
                <w:szCs w:val="20"/>
                <w:lang w:val="en-IE"/>
              </w:rPr>
              <w:t>8.</w:t>
            </w:r>
          </w:p>
        </w:tc>
        <w:tc>
          <w:tcPr>
            <w:tcW w:w="1096" w:type="pct"/>
            <w:vAlign w:val="center"/>
          </w:tcPr>
          <w:p w14:paraId="6D14F57F" w14:textId="7B9B91F0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Provisioning</w:t>
            </w:r>
            <w:proofErr w:type="spellEnd"/>
          </w:p>
        </w:tc>
        <w:tc>
          <w:tcPr>
            <w:tcW w:w="2897" w:type="pct"/>
          </w:tcPr>
          <w:p w14:paraId="60DAA465" w14:textId="357985B8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umożliwia udostępnianie zasobów dyskowych do serwerów w trybie typu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Provisioning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  <w:p w14:paraId="581B0059" w14:textId="644E18B7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umożliwia odzyskiwanie przestrzeni dyskowych po usuniętych danych w ramach wolumenów typu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. Proces odzyskiwania danych musi być automatyczny, bez konieczności uruchamiania dodatkowych procesów na kontrolerach macierzowych (wymagana obsługa standardu T10 SCSI UNMAP).</w:t>
            </w:r>
          </w:p>
        </w:tc>
        <w:tc>
          <w:tcPr>
            <w:tcW w:w="699" w:type="pct"/>
            <w:vAlign w:val="center"/>
          </w:tcPr>
          <w:p w14:paraId="1EE92FE0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5591CC20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573633DB" w14:textId="00816ED8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096" w:type="pct"/>
            <w:vAlign w:val="center"/>
          </w:tcPr>
          <w:p w14:paraId="55704BB9" w14:textId="1A3A8C44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Wewnętrzne kopie migawkowe</w:t>
            </w:r>
          </w:p>
        </w:tc>
        <w:tc>
          <w:tcPr>
            <w:tcW w:w="2897" w:type="pct"/>
            <w:vAlign w:val="center"/>
          </w:tcPr>
          <w:p w14:paraId="6F84E77E" w14:textId="45C54ED7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Macierz umożliwia dokonywanie na żądanie tzw. migawkowej kopii danych (</w:t>
            </w:r>
            <w:proofErr w:type="spellStart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snapshot</w:t>
            </w:r>
            <w:proofErr w:type="spellEnd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, point-in-</w:t>
            </w:r>
            <w:proofErr w:type="spellStart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time</w:t>
            </w:r>
            <w:proofErr w:type="spellEnd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) w ramach macierzy za pomocą wewnętrznych kontrolerów macierzowych. Wymagany jest mechanizm.</w:t>
            </w:r>
          </w:p>
          <w:p w14:paraId="5015D904" w14:textId="58B1BDD7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Redirect</w:t>
            </w:r>
            <w:proofErr w:type="spellEnd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-on-wite (ROW) lub </w:t>
            </w:r>
            <w:proofErr w:type="spellStart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Copy</w:t>
            </w:r>
            <w:proofErr w:type="spellEnd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-on-</w:t>
            </w:r>
            <w:proofErr w:type="spellStart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write</w:t>
            </w:r>
            <w:proofErr w:type="spellEnd"/>
            <w:r w:rsidRPr="009556D9"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699" w:type="pct"/>
            <w:vAlign w:val="center"/>
          </w:tcPr>
          <w:p w14:paraId="71333C00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19B615FD" w14:textId="77777777" w:rsidTr="00E82963">
        <w:trPr>
          <w:cantSplit/>
          <w:trHeight w:val="188"/>
          <w:jc w:val="center"/>
        </w:trPr>
        <w:tc>
          <w:tcPr>
            <w:tcW w:w="308" w:type="pct"/>
            <w:vAlign w:val="center"/>
          </w:tcPr>
          <w:p w14:paraId="5550D8D7" w14:textId="0FC85ED2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096" w:type="pct"/>
            <w:vAlign w:val="center"/>
          </w:tcPr>
          <w:p w14:paraId="199B9B8E" w14:textId="5323CBB8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Ciągła dostępność do danych</w:t>
            </w:r>
          </w:p>
        </w:tc>
        <w:tc>
          <w:tcPr>
            <w:tcW w:w="2897" w:type="pct"/>
            <w:vAlign w:val="center"/>
          </w:tcPr>
          <w:p w14:paraId="77E6AD69" w14:textId="642612C7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 umożliwia replikowanie danych z drugą taką macierzą zapewniając integrację z co najmniej Microsoft Cluster Service oraz platformą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wirtualizacyjną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vSphere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Metro Storage Cluster).</w:t>
            </w:r>
          </w:p>
          <w:p w14:paraId="25FCBA30" w14:textId="7BFA947E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Cs/>
                <w:sz w:val="20"/>
                <w:szCs w:val="20"/>
                <w:lang w:val="en-IE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Rozwiązanie umożliwia hostom jednoczesny zapis do obu macierzy dla tego samego wolumenu</w:t>
            </w:r>
          </w:p>
        </w:tc>
        <w:tc>
          <w:tcPr>
            <w:tcW w:w="699" w:type="pct"/>
            <w:vAlign w:val="center"/>
          </w:tcPr>
          <w:p w14:paraId="6B7F9CFA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11E6275C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7976456D" w14:textId="606A5D18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096" w:type="pct"/>
            <w:vAlign w:val="center"/>
          </w:tcPr>
          <w:p w14:paraId="4952617B" w14:textId="1F4B2278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Zarządzanie wydajnością</w:t>
            </w:r>
          </w:p>
        </w:tc>
        <w:tc>
          <w:tcPr>
            <w:tcW w:w="2897" w:type="pct"/>
            <w:vAlign w:val="center"/>
          </w:tcPr>
          <w:p w14:paraId="78728153" w14:textId="400B8181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umożliwia konfigurację gwarancji wydajności typu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QoS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w postaci ustawień kilku poziomów priorytetów obsługi.</w:t>
            </w:r>
          </w:p>
        </w:tc>
        <w:tc>
          <w:tcPr>
            <w:tcW w:w="699" w:type="pct"/>
            <w:vAlign w:val="center"/>
          </w:tcPr>
          <w:p w14:paraId="5BD83E98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0404A4EB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4580BB9B" w14:textId="113783A3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096" w:type="pct"/>
            <w:vAlign w:val="center"/>
          </w:tcPr>
          <w:p w14:paraId="76A9F236" w14:textId="20761A28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Testy działania oraz weryfikacja parametrów operacyjnych</w:t>
            </w:r>
          </w:p>
        </w:tc>
        <w:tc>
          <w:tcPr>
            <w:tcW w:w="2897" w:type="pct"/>
          </w:tcPr>
          <w:p w14:paraId="187240C0" w14:textId="427BEF5D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Macierz umożliwia jednoczesne podłączenie wielu serwerów w trybie wysokiej dostępności (co najmniej dwoma ścieżkami).</w:t>
            </w:r>
          </w:p>
          <w:p w14:paraId="722AC80F" w14:textId="73B93DCD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wspiera podłączenie następujących systemów operacyjnych dla protokołu FC: Windows Server 2022, Red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Hat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9.x,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8.x, SLES 15.</w:t>
            </w:r>
          </w:p>
          <w:p w14:paraId="3DD3B0CA" w14:textId="155A43A2" w:rsidR="009556D9" w:rsidRPr="009556D9" w:rsidRDefault="009556D9" w:rsidP="009556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theme="minorHAnsi"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wspiera podłączenie następujących systemów operacyjnych dla protokołu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NVMeoF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-FC: Red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Hat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9.x,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8.x</w:t>
            </w:r>
          </w:p>
        </w:tc>
        <w:tc>
          <w:tcPr>
            <w:tcW w:w="699" w:type="pct"/>
            <w:vAlign w:val="center"/>
          </w:tcPr>
          <w:p w14:paraId="7D320C09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  <w:tr w:rsidR="009556D9" w:rsidRPr="009556D9" w14:paraId="3A1CF60C" w14:textId="77777777" w:rsidTr="00E82963">
        <w:trPr>
          <w:cantSplit/>
          <w:jc w:val="center"/>
        </w:trPr>
        <w:tc>
          <w:tcPr>
            <w:tcW w:w="308" w:type="pct"/>
            <w:vAlign w:val="center"/>
          </w:tcPr>
          <w:p w14:paraId="4137715C" w14:textId="654A9973" w:rsidR="009556D9" w:rsidRPr="009556D9" w:rsidRDefault="00E82963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1096" w:type="pct"/>
            <w:vAlign w:val="center"/>
          </w:tcPr>
          <w:p w14:paraId="0704B3C9" w14:textId="6DD62BB9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Wysoka dostępność</w:t>
            </w:r>
          </w:p>
        </w:tc>
        <w:tc>
          <w:tcPr>
            <w:tcW w:w="2897" w:type="pct"/>
            <w:vAlign w:val="center"/>
          </w:tcPr>
          <w:p w14:paraId="6AB26ABF" w14:textId="6494C354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nie posiada pojedynczego punktu awarii, który powodowałby brak dostępu do danych.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apewniona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jest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pełna redundancja komponentów, w szczególności zdublowanie kontrolerów, zasilaczy i wentylatorów.</w:t>
            </w:r>
          </w:p>
          <w:p w14:paraId="59B612FA" w14:textId="07E0F003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Macierz umożliwia wymianę elementów systemu w trybie „hot-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swap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”, a w szczególności takich, jak: dyski, kontrolery, zasilacze, wentylatory.</w:t>
            </w:r>
          </w:p>
          <w:p w14:paraId="3902E8BF" w14:textId="76A348B9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Macierz m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a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możliwość zasilania z dwóch niezależnych źródeł zasilania – odporność na zanik zasilania jednej fazy lub awarię jednego z zasilaczy macierzy.</w:t>
            </w:r>
          </w:p>
          <w:p w14:paraId="3FA7BEC1" w14:textId="6FE15DA5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Macierz umożliwia wykonywanie aktualizacji </w:t>
            </w:r>
            <w:proofErr w:type="spellStart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mikrokodu</w:t>
            </w:r>
            <w:proofErr w:type="spellEnd"/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macierzy w trybie online bez wyłączania żadnego z interfejsów macierzy.</w:t>
            </w:r>
          </w:p>
          <w:p w14:paraId="214DC403" w14:textId="29E7A344" w:rsidR="009556D9" w:rsidRPr="009556D9" w:rsidRDefault="009556D9" w:rsidP="009556D9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Macierz umożliwia zdalne zarządzanie macierzą oraz automatyczne informowanie centrum serwisowego o awarii.</w:t>
            </w:r>
          </w:p>
          <w:p w14:paraId="677AB4BD" w14:textId="07D292FB" w:rsidR="009556D9" w:rsidRPr="009556D9" w:rsidRDefault="009556D9" w:rsidP="009556D9">
            <w:pPr>
              <w:spacing w:after="0" w:line="240" w:lineRule="auto"/>
              <w:jc w:val="both"/>
              <w:rPr>
                <w:rFonts w:eastAsia="Calibri" w:cstheme="minorHAnsi"/>
                <w:bCs/>
                <w:sz w:val="20"/>
                <w:szCs w:val="20"/>
              </w:rPr>
            </w:pP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Producent macierzy gwarant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uje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min. 99.9999% dostępność do danych dla pojedynczej macierzy.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P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otwierdzenie </w:t>
            </w:r>
            <w:r w:rsidR="00D47BE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dostępne </w:t>
            </w:r>
            <w:r w:rsidRPr="009556D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na publicznej stronie producenta na żądanie Zamawiającego.</w:t>
            </w:r>
          </w:p>
        </w:tc>
        <w:tc>
          <w:tcPr>
            <w:tcW w:w="699" w:type="pct"/>
            <w:vAlign w:val="center"/>
          </w:tcPr>
          <w:p w14:paraId="69749FA2" w14:textId="77777777" w:rsidR="009556D9" w:rsidRPr="009556D9" w:rsidRDefault="009556D9" w:rsidP="009556D9">
            <w:pPr>
              <w:spacing w:after="0"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</w:tr>
    </w:tbl>
    <w:p w14:paraId="5467FD8E" w14:textId="77777777" w:rsidR="00E23D76" w:rsidRPr="00E8266D" w:rsidRDefault="00E23D76" w:rsidP="00E23D76">
      <w:pPr>
        <w:spacing w:after="0" w:line="276" w:lineRule="auto"/>
        <w:rPr>
          <w:rFonts w:ascii="Calibri" w:eastAsia="Calibri" w:hAnsi="Calibri" w:cs="Calibri"/>
          <w:i/>
          <w:iCs/>
          <w:kern w:val="0"/>
          <w:sz w:val="24"/>
          <w:szCs w:val="24"/>
          <w:lang w:val="en-IE"/>
          <w14:ligatures w14:val="none"/>
        </w:rPr>
      </w:pPr>
    </w:p>
    <w:p w14:paraId="175D22A2" w14:textId="77777777" w:rsidR="00F24790" w:rsidRDefault="00F24790" w:rsidP="00E23D76">
      <w:pPr>
        <w:spacing w:after="0" w:line="276" w:lineRule="auto"/>
        <w:rPr>
          <w:rFonts w:ascii="Calibri" w:eastAsia="Calibri" w:hAnsi="Calibri" w:cs="Calibri"/>
          <w:i/>
          <w:iCs/>
          <w:kern w:val="0"/>
          <w:sz w:val="24"/>
          <w:szCs w:val="24"/>
          <w:lang w:val="en-IE"/>
          <w14:ligatures w14:val="none"/>
        </w:rPr>
      </w:pPr>
    </w:p>
    <w:sectPr w:rsidR="00F24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CB5E" w14:textId="77777777" w:rsidR="00D37998" w:rsidRDefault="00D37998" w:rsidP="00E23D76">
      <w:pPr>
        <w:spacing w:after="0" w:line="240" w:lineRule="auto"/>
      </w:pPr>
      <w:r>
        <w:separator/>
      </w:r>
    </w:p>
  </w:endnote>
  <w:endnote w:type="continuationSeparator" w:id="0">
    <w:p w14:paraId="54565D5A" w14:textId="77777777" w:rsidR="00D37998" w:rsidRDefault="00D37998" w:rsidP="00E2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72C1" w14:textId="77777777" w:rsidR="00D37998" w:rsidRDefault="00D37998" w:rsidP="00E23D76">
      <w:pPr>
        <w:spacing w:after="0" w:line="240" w:lineRule="auto"/>
      </w:pPr>
      <w:r>
        <w:separator/>
      </w:r>
    </w:p>
  </w:footnote>
  <w:footnote w:type="continuationSeparator" w:id="0">
    <w:p w14:paraId="6AF31E2D" w14:textId="77777777" w:rsidR="00D37998" w:rsidRDefault="00D37998" w:rsidP="00E2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33D13" w14:textId="648F6632" w:rsidR="00E23D76" w:rsidRDefault="00E23D76">
    <w:pPr>
      <w:pStyle w:val="Nagwek"/>
    </w:pPr>
    <w:r w:rsidRPr="00E23D76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0" locked="0" layoutInCell="1" allowOverlap="1" wp14:anchorId="420D9B73" wp14:editId="6C508A91">
          <wp:simplePos x="0" y="0"/>
          <wp:positionH relativeFrom="margin">
            <wp:posOffset>66675</wp:posOffset>
          </wp:positionH>
          <wp:positionV relativeFrom="paragraph">
            <wp:posOffset>-286385</wp:posOffset>
          </wp:positionV>
          <wp:extent cx="5760720" cy="743102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1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C2BC2"/>
    <w:multiLevelType w:val="multilevel"/>
    <w:tmpl w:val="A9C6C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8029DD"/>
    <w:multiLevelType w:val="hybridMultilevel"/>
    <w:tmpl w:val="D0805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330E"/>
    <w:multiLevelType w:val="hybridMultilevel"/>
    <w:tmpl w:val="FCD62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A03F7"/>
    <w:multiLevelType w:val="hybridMultilevel"/>
    <w:tmpl w:val="8110A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D62C0"/>
    <w:multiLevelType w:val="hybridMultilevel"/>
    <w:tmpl w:val="43A8F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76DC5"/>
    <w:multiLevelType w:val="hybridMultilevel"/>
    <w:tmpl w:val="FCD621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435DA"/>
    <w:multiLevelType w:val="hybridMultilevel"/>
    <w:tmpl w:val="48AE8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47C33"/>
    <w:multiLevelType w:val="hybridMultilevel"/>
    <w:tmpl w:val="FCD621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72A02"/>
    <w:multiLevelType w:val="hybridMultilevel"/>
    <w:tmpl w:val="7CBE2BD2"/>
    <w:lvl w:ilvl="0" w:tplc="44A6FABE">
      <w:start w:val="1"/>
      <w:numFmt w:val="bullet"/>
      <w:lvlText w:val="-"/>
      <w:lvlJc w:val="left"/>
      <w:pPr>
        <w:ind w:left="89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65F6507B"/>
    <w:multiLevelType w:val="hybridMultilevel"/>
    <w:tmpl w:val="8FF87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6434C"/>
    <w:multiLevelType w:val="hybridMultilevel"/>
    <w:tmpl w:val="1CC04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3220D"/>
    <w:multiLevelType w:val="multilevel"/>
    <w:tmpl w:val="04F2F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71023833">
    <w:abstractNumId w:val="0"/>
  </w:num>
  <w:num w:numId="2" w16cid:durableId="286161467">
    <w:abstractNumId w:val="11"/>
  </w:num>
  <w:num w:numId="3" w16cid:durableId="1868056389">
    <w:abstractNumId w:val="4"/>
  </w:num>
  <w:num w:numId="4" w16cid:durableId="332993048">
    <w:abstractNumId w:val="9"/>
  </w:num>
  <w:num w:numId="5" w16cid:durableId="2034651373">
    <w:abstractNumId w:val="3"/>
  </w:num>
  <w:num w:numId="6" w16cid:durableId="962226518">
    <w:abstractNumId w:val="1"/>
  </w:num>
  <w:num w:numId="7" w16cid:durableId="1621372737">
    <w:abstractNumId w:val="2"/>
  </w:num>
  <w:num w:numId="8" w16cid:durableId="481387481">
    <w:abstractNumId w:val="6"/>
  </w:num>
  <w:num w:numId="9" w16cid:durableId="1070889393">
    <w:abstractNumId w:val="10"/>
  </w:num>
  <w:num w:numId="10" w16cid:durableId="1603145498">
    <w:abstractNumId w:val="5"/>
  </w:num>
  <w:num w:numId="11" w16cid:durableId="1678389276">
    <w:abstractNumId w:val="8"/>
  </w:num>
  <w:num w:numId="12" w16cid:durableId="250745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76"/>
    <w:rsid w:val="00057042"/>
    <w:rsid w:val="001D559B"/>
    <w:rsid w:val="002574A3"/>
    <w:rsid w:val="003C6750"/>
    <w:rsid w:val="005978CA"/>
    <w:rsid w:val="006A094D"/>
    <w:rsid w:val="007439D5"/>
    <w:rsid w:val="008148A6"/>
    <w:rsid w:val="009556D9"/>
    <w:rsid w:val="00A97A2F"/>
    <w:rsid w:val="00D37998"/>
    <w:rsid w:val="00D47BEC"/>
    <w:rsid w:val="00E23D76"/>
    <w:rsid w:val="00E2431C"/>
    <w:rsid w:val="00E307D6"/>
    <w:rsid w:val="00E8266D"/>
    <w:rsid w:val="00E82963"/>
    <w:rsid w:val="00F24790"/>
    <w:rsid w:val="00F4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6125"/>
  <w15:chartTrackingRefBased/>
  <w15:docId w15:val="{B5EF9E56-359F-434A-9619-C687AF9F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3D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D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3D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3D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3D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3D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3D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3D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3D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3D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D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3D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3D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3D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3D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3D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3D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3D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3D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3D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3D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3D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3D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3D76"/>
    <w:rPr>
      <w:i/>
      <w:iCs/>
      <w:color w:val="404040" w:themeColor="text1" w:themeTint="BF"/>
    </w:rPr>
  </w:style>
  <w:style w:type="paragraph" w:styleId="Akapitzlist">
    <w:name w:val="List Paragraph"/>
    <w:aliases w:val="L1,Numerowanie,Preambuła,Akapit z listą5,List Paragraph,listaNORMALNY,T_SZ_List Paragraph,Akapit normalny,Bullet Number,List Paragraph1,lp1,List Paragraph2,ISCG Numerowanie,lp11,List Paragraph11,Bullet 1,Use Case List Paragraph,CW_Lista"/>
    <w:basedOn w:val="Normalny"/>
    <w:link w:val="AkapitzlistZnak"/>
    <w:uiPriority w:val="34"/>
    <w:qFormat/>
    <w:rsid w:val="00E23D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3D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3D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3D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3D7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3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D76"/>
  </w:style>
  <w:style w:type="paragraph" w:styleId="Stopka">
    <w:name w:val="footer"/>
    <w:basedOn w:val="Normalny"/>
    <w:link w:val="StopkaZnak"/>
    <w:uiPriority w:val="99"/>
    <w:unhideWhenUsed/>
    <w:rsid w:val="00E23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D76"/>
  </w:style>
  <w:style w:type="table" w:styleId="Tabela-Siatka">
    <w:name w:val="Table Grid"/>
    <w:basedOn w:val="Standardowy"/>
    <w:uiPriority w:val="39"/>
    <w:rsid w:val="00E23D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Preambuła Znak,Akapit z listą5 Znak,List Paragraph Znak,listaNORMALNY Znak,T_SZ_List Paragraph Znak,Akapit normalny Znak,Bullet Number Znak,List Paragraph1 Znak,lp1 Znak,List Paragraph2 Znak,lp11 Znak"/>
    <w:link w:val="Akapitzlist"/>
    <w:uiPriority w:val="34"/>
    <w:qFormat/>
    <w:locked/>
    <w:rsid w:val="00E82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2440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Bilczuk</dc:creator>
  <cp:keywords/>
  <dc:description/>
  <cp:lastModifiedBy>Piotr Bilczuk</cp:lastModifiedBy>
  <cp:revision>2</cp:revision>
  <dcterms:created xsi:type="dcterms:W3CDTF">2026-03-23T07:09:00Z</dcterms:created>
  <dcterms:modified xsi:type="dcterms:W3CDTF">2026-03-23T07:09:00Z</dcterms:modified>
</cp:coreProperties>
</file>